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32" w:rsidRPr="00952E5C" w:rsidRDefault="00096423" w:rsidP="002543BE">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840023">
        <w:rPr>
          <w:rFonts w:ascii="方正小标宋简体" w:eastAsia="方正小标宋简体" w:hAnsi="Times New Roman" w:cs="Times New Roman" w:hint="eastAsia"/>
          <w:sz w:val="44"/>
          <w:szCs w:val="44"/>
        </w:rPr>
        <w:t>行政审批局</w:t>
      </w:r>
      <w:r w:rsidR="00440AC7">
        <w:rPr>
          <w:rFonts w:ascii="方正小标宋简体" w:eastAsia="方正小标宋简体" w:hAnsi="Times New Roman" w:cs="Times New Roman" w:hint="eastAsia"/>
          <w:sz w:val="44"/>
          <w:szCs w:val="44"/>
        </w:rPr>
        <w:t>20</w:t>
      </w:r>
      <w:r w:rsidR="00B00920">
        <w:rPr>
          <w:rFonts w:ascii="方正小标宋简体" w:eastAsia="方正小标宋简体" w:hAnsi="Times New Roman" w:cs="Times New Roman"/>
          <w:sz w:val="44"/>
          <w:szCs w:val="44"/>
        </w:rPr>
        <w:t>20</w:t>
      </w:r>
      <w:r w:rsidR="002543BE">
        <w:rPr>
          <w:rFonts w:ascii="方正小标宋简体" w:eastAsia="方正小标宋简体" w:hAnsi="Times New Roman" w:cs="Times New Roman" w:hint="eastAsia"/>
          <w:sz w:val="44"/>
          <w:szCs w:val="44"/>
        </w:rPr>
        <w:t>年</w:t>
      </w:r>
      <w:r w:rsidR="00440AC7">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rsidR="00F66032" w:rsidRPr="00952E5C" w:rsidRDefault="00F66032" w:rsidP="00F66032">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w:t>
      </w:r>
      <w:r w:rsidR="00614A29" w:rsidRPr="00952E5C">
        <w:rPr>
          <w:rFonts w:ascii="仿宋_GB2312" w:eastAsia="仿宋_GB2312" w:hAnsi="Times New Roman" w:cs="Times New Roman" w:hint="eastAsia"/>
          <w:sz w:val="32"/>
          <w:szCs w:val="32"/>
        </w:rPr>
        <w:t>《预算法》、</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，现将</w:t>
      </w:r>
      <w:r w:rsidR="00840023">
        <w:rPr>
          <w:rFonts w:ascii="仿宋_GB2312" w:eastAsia="仿宋_GB2312" w:hAnsi="Times New Roman" w:cs="Times New Roman" w:hint="eastAsia"/>
          <w:sz w:val="32"/>
          <w:szCs w:val="32"/>
        </w:rPr>
        <w:t>霸州市行政审批局</w:t>
      </w:r>
      <w:r w:rsidR="00440AC7">
        <w:rPr>
          <w:rFonts w:ascii="仿宋_GB2312" w:eastAsia="仿宋_GB2312" w:hAnsi="Times New Roman" w:cs="Times New Roman" w:hint="eastAsia"/>
          <w:sz w:val="32"/>
          <w:szCs w:val="32"/>
        </w:rPr>
        <w:t>20</w:t>
      </w:r>
      <w:r w:rsidR="00107EBE">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年部门预算公开如下：</w:t>
      </w:r>
    </w:p>
    <w:p w:rsidR="00F66032" w:rsidRPr="00F66032" w:rsidRDefault="00F66032" w:rsidP="000B6A65">
      <w:pPr>
        <w:ind w:firstLineChars="200"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rsidR="00F66032" w:rsidRPr="00952E5C" w:rsidRDefault="00F66032" w:rsidP="009172C3">
      <w:pPr>
        <w:ind w:firstLineChars="200" w:firstLine="643"/>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部门职责：</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（一）贯彻执行党中央国务院、省委省政府、廊坊市委市政府和霸州市委市政府</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放管服</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改革、行政审批制度改革、政务服务管理、公共资源交易市场管理有关方针政策和法律法规。拟订有关政策，协调指导并监督实施。</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（二）组织协调全市</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放管服</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改革工作。指导、督促贯彻落实党中央国务院、省委省政府、廊坊市委市政府和霸州市委市政府关于</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放管服</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改革重要领域、关键环节重大政策措施。</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（三）指导协调全市行政审批制度改革工作。建立健全行政审批管理体系；推进简政放权，清理和规范各类行政许可等管理事项；协调推进行政审批标准化工作；承担市行政审批制度改革工作领导</w:t>
      </w:r>
      <w:r w:rsidRPr="00840023">
        <w:rPr>
          <w:rFonts w:ascii="仿宋_GB2312" w:eastAsia="仿宋_GB2312" w:hAnsi="Times New Roman" w:cs="Times New Roman" w:hint="eastAsia"/>
          <w:sz w:val="32"/>
          <w:szCs w:val="32"/>
        </w:rPr>
        <w:lastRenderedPageBreak/>
        <w:t>小组的日常工作。</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四）负责办理划转至市行政审批局的行政审批事项，并对审批行为承担相应的法律责任；负责对划入的行政审批事项进行流程再造和环节优化；负责与监管部门的联系沟通，建立健全审批与监管的有效衔接机制。</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五）指导协调全市政务服务管理工作。负责优化政务服务供给，降低制度性交易成本，提升政务服务效能；负责推进审批服务便民化；指导协调市有关部门为公民、法人或其他组织提供规范、高效、优质的政务服务。</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六）负责综合协调和监督管理市级各部门行政审批等事项和公共服务事项的集中统一办理；推进重点项目审批服务的综合协调和督办；组织相关部门开展审批服务事项的联合办理和联审会办；研究推进并联审批服务工作。</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七）协调指导全市公共资源交易市场工作。拟订全市公共资源交易市场管理制度和规则；编制全市公共资源交易目录；负责管理和利用统一的公共资源交易电子服务系统；负责推进全市公共资源交易领域信用体系建设；依据公共资源交易平台管理细则和办法等相关规定，履行管理和服务的职责；</w:t>
      </w:r>
      <w:r w:rsidRPr="00840023">
        <w:rPr>
          <w:rFonts w:ascii="仿宋_GB2312" w:eastAsia="仿宋_GB2312" w:hAnsi="Times New Roman" w:cs="Times New Roman" w:hint="eastAsia"/>
          <w:sz w:val="32"/>
          <w:szCs w:val="32"/>
        </w:rPr>
        <w:lastRenderedPageBreak/>
        <w:t>依法协调相关部门开展市本级公共资源交易活动的联动执法工作。</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（八）统筹推进全市</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互联网＋政务服务</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工作，构建全市一体化政务服务平台。推行政务服务事项网上办理，形成管理机构、实体大厅、网上平台</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三位一体</w:t>
      </w:r>
      <w:r w:rsidRPr="00840023">
        <w:rPr>
          <w:rFonts w:ascii="仿宋_GB2312" w:eastAsia="仿宋_GB2312" w:hAnsi="Times New Roman" w:cs="Times New Roman"/>
          <w:sz w:val="32"/>
          <w:szCs w:val="32"/>
        </w:rPr>
        <w:t>”</w:t>
      </w:r>
      <w:r w:rsidRPr="00840023">
        <w:rPr>
          <w:rFonts w:ascii="仿宋_GB2312" w:eastAsia="仿宋_GB2312" w:hAnsi="Times New Roman" w:cs="Times New Roman" w:hint="eastAsia"/>
          <w:sz w:val="32"/>
          <w:szCs w:val="32"/>
        </w:rPr>
        <w:t>的管理模式；推进全市电子证照库建设；推进全市政务服务平台规范化、标准化、集约化建设和互联互通、数据共享。</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九）建立健全全市行政审批服务、政务服务效能可量化的考核评价制度；对进驻政务服务大厅的部门进行综合考评，对进驻事项的办理情况、办理效能，以及办事人员的服务质量等进行监督；负责受理对本单位及派驻单位行政审批行为的投诉举报，会同有关部门查处行政审批方面的违纪违规行为。</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（十）负责协调和指导乡镇（区、办）行政审批、政务服务、便民服务体系建设，建立公共服务运行规程和考核体系。</w:t>
      </w:r>
    </w:p>
    <w:p w:rsidR="00840023" w:rsidRPr="00840023" w:rsidRDefault="00840023" w:rsidP="00840023">
      <w:pPr>
        <w:ind w:firstLineChars="200" w:firstLine="640"/>
        <w:rPr>
          <w:rFonts w:ascii="仿宋_GB2312" w:eastAsia="仿宋_GB2312" w:hAnsi="Times New Roman" w:cs="Times New Roman"/>
          <w:sz w:val="32"/>
          <w:szCs w:val="32"/>
        </w:rPr>
      </w:pPr>
      <w:r w:rsidRPr="00840023">
        <w:rPr>
          <w:rFonts w:ascii="仿宋_GB2312" w:eastAsia="仿宋_GB2312" w:hAnsi="Times New Roman" w:cs="Times New Roman" w:hint="eastAsia"/>
          <w:sz w:val="32"/>
          <w:szCs w:val="32"/>
        </w:rPr>
        <w:t>（十一）完成市委、市政府交办的其他任务。</w:t>
      </w:r>
    </w:p>
    <w:p w:rsidR="00F66032" w:rsidRPr="00952E5C" w:rsidRDefault="00F66032" w:rsidP="009172C3">
      <w:pPr>
        <w:autoSpaceDE w:val="0"/>
        <w:autoSpaceDN w:val="0"/>
        <w:adjustRightInd w:val="0"/>
        <w:ind w:firstLineChars="200" w:firstLine="643"/>
        <w:jc w:val="left"/>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机构设置：</w:t>
      </w:r>
    </w:p>
    <w:p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F66032" w:rsidRPr="00F66032" w:rsidTr="00F6694D">
        <w:trPr>
          <w:trHeight w:val="300"/>
          <w:tblHeader/>
          <w:jc w:val="center"/>
        </w:trPr>
        <w:tc>
          <w:tcPr>
            <w:tcW w:w="3711"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lastRenderedPageBreak/>
              <w:t>单位名称</w:t>
            </w:r>
          </w:p>
        </w:tc>
        <w:tc>
          <w:tcPr>
            <w:tcW w:w="186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536"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642" w:type="dxa"/>
            <w:vMerge w:val="restart"/>
            <w:shd w:val="clear" w:color="auto" w:fill="auto"/>
            <w:vAlign w:val="center"/>
          </w:tcPr>
          <w:p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F66032" w:rsidRPr="00F66032" w:rsidTr="00F6694D">
        <w:trPr>
          <w:trHeight w:val="300"/>
          <w:tblHeader/>
          <w:jc w:val="center"/>
        </w:trPr>
        <w:tc>
          <w:tcPr>
            <w:tcW w:w="3711"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66032" w:rsidRPr="00F66032" w:rsidRDefault="00F66032" w:rsidP="00F66032">
            <w:pPr>
              <w:spacing w:line="300" w:lineRule="exact"/>
              <w:jc w:val="left"/>
              <w:outlineLvl w:val="0"/>
              <w:rPr>
                <w:rFonts w:ascii="Times New Roman" w:eastAsia="宋体" w:hAnsi="Times New Roman" w:cs="Times New Roman"/>
                <w:szCs w:val="24"/>
              </w:rPr>
            </w:pPr>
          </w:p>
        </w:tc>
      </w:tr>
      <w:tr w:rsidR="00F66032" w:rsidRPr="00F66032" w:rsidTr="00F6694D">
        <w:trPr>
          <w:trHeight w:val="227"/>
          <w:jc w:val="center"/>
        </w:trPr>
        <w:tc>
          <w:tcPr>
            <w:tcW w:w="3711" w:type="dxa"/>
            <w:shd w:val="clear" w:color="auto" w:fill="auto"/>
            <w:vAlign w:val="center"/>
          </w:tcPr>
          <w:p w:rsidR="00F66032" w:rsidRPr="00F66032" w:rsidRDefault="00840023"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霸州市行政审批局</w:t>
            </w:r>
          </w:p>
        </w:tc>
        <w:tc>
          <w:tcPr>
            <w:tcW w:w="1866" w:type="dxa"/>
            <w:shd w:val="clear" w:color="auto" w:fill="auto"/>
            <w:vAlign w:val="center"/>
          </w:tcPr>
          <w:p w:rsidR="00F66032" w:rsidRPr="00F66032" w:rsidRDefault="00840023"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行政机关</w:t>
            </w:r>
          </w:p>
        </w:tc>
        <w:tc>
          <w:tcPr>
            <w:tcW w:w="1536" w:type="dxa"/>
            <w:shd w:val="clear" w:color="auto" w:fill="auto"/>
            <w:vAlign w:val="center"/>
          </w:tcPr>
          <w:p w:rsidR="00F66032" w:rsidRPr="00F66032" w:rsidRDefault="00840023"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shd w:val="clear" w:color="auto" w:fill="auto"/>
            <w:vAlign w:val="center"/>
          </w:tcPr>
          <w:p w:rsidR="00F66032" w:rsidRPr="00F66032" w:rsidRDefault="00840023"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F66032" w:rsidRPr="000B6A65" w:rsidRDefault="007E1DA8"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1、收入说明</w:t>
      </w:r>
    </w:p>
    <w:p w:rsidR="00776C08" w:rsidRDefault="00776C08"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反映本部门当年全部收入。</w:t>
      </w:r>
      <w:r w:rsidR="003C3A51">
        <w:rPr>
          <w:rFonts w:ascii="仿宋_GB2312" w:eastAsia="仿宋_GB2312" w:hAnsi="Times New Roman" w:cs="Times New Roman" w:hint="eastAsia"/>
          <w:sz w:val="32"/>
          <w:szCs w:val="32"/>
        </w:rPr>
        <w:t>20</w:t>
      </w:r>
      <w:r w:rsidR="00107EBE">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年预算收入</w:t>
      </w:r>
      <w:r w:rsidR="00082503" w:rsidRPr="00082503">
        <w:rPr>
          <w:rFonts w:ascii="仿宋_GB2312" w:eastAsia="仿宋_GB2312" w:hAnsi="Times New Roman" w:cs="Times New Roman"/>
          <w:sz w:val="32"/>
          <w:szCs w:val="32"/>
        </w:rPr>
        <w:t>2166.91</w:t>
      </w:r>
      <w:r w:rsidRPr="00952E5C">
        <w:rPr>
          <w:rFonts w:ascii="仿宋_GB2312" w:eastAsia="仿宋_GB2312" w:hAnsi="Times New Roman" w:cs="Times New Roman" w:hint="eastAsia"/>
          <w:sz w:val="32"/>
          <w:szCs w:val="32"/>
        </w:rPr>
        <w:t>万元，其中：一般公共预算收入</w:t>
      </w:r>
      <w:r w:rsidR="00372A64" w:rsidRPr="00082503">
        <w:rPr>
          <w:rFonts w:ascii="仿宋_GB2312" w:eastAsia="仿宋_GB2312" w:hAnsi="Times New Roman" w:cs="Times New Roman"/>
          <w:sz w:val="32"/>
          <w:szCs w:val="32"/>
        </w:rPr>
        <w:t>2166.91</w:t>
      </w:r>
      <w:r w:rsidRPr="00952E5C">
        <w:rPr>
          <w:rFonts w:ascii="仿宋_GB2312" w:eastAsia="仿宋_GB2312" w:hAnsi="Times New Roman" w:cs="Times New Roman" w:hint="eastAsia"/>
          <w:sz w:val="32"/>
          <w:szCs w:val="32"/>
        </w:rPr>
        <w:t>万元，</w:t>
      </w:r>
      <w:r w:rsidR="00165677">
        <w:rPr>
          <w:rFonts w:ascii="仿宋_GB2312" w:eastAsia="仿宋_GB2312" w:hAnsi="Times New Roman" w:cs="Times New Roman" w:hint="eastAsia"/>
          <w:sz w:val="32"/>
          <w:szCs w:val="32"/>
        </w:rPr>
        <w:t>政府性基金预算收入</w:t>
      </w:r>
      <w:r w:rsidR="00082503">
        <w:rPr>
          <w:rFonts w:ascii="仿宋_GB2312" w:eastAsia="仿宋_GB2312" w:hAnsi="Times New Roman" w:cs="Times New Roman" w:hint="eastAsia"/>
          <w:sz w:val="32"/>
          <w:szCs w:val="32"/>
        </w:rPr>
        <w:t>0</w:t>
      </w:r>
      <w:r w:rsidR="00165677">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，国有资本经营</w:t>
      </w:r>
      <w:r w:rsidR="00EF02FF">
        <w:rPr>
          <w:rFonts w:ascii="仿宋_GB2312" w:eastAsia="仿宋_GB2312" w:hAnsi="Times New Roman" w:cs="Times New Roman"/>
          <w:sz w:val="32"/>
          <w:szCs w:val="32"/>
        </w:rPr>
        <w:t>预算收入</w:t>
      </w:r>
      <w:r w:rsidR="00082503">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w:t>
      </w:r>
      <w:r w:rsidR="00EF02FF">
        <w:rPr>
          <w:rFonts w:ascii="仿宋_GB2312" w:eastAsia="仿宋_GB2312" w:hAnsi="Times New Roman" w:cs="Times New Roman"/>
          <w:sz w:val="32"/>
          <w:szCs w:val="32"/>
        </w:rPr>
        <w:t>上级补助收入</w:t>
      </w:r>
      <w:r w:rsidR="00082503">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事业收入</w:t>
      </w:r>
      <w:r w:rsidR="00082503">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经营</w:t>
      </w:r>
      <w:r w:rsidR="00EF02FF">
        <w:rPr>
          <w:rFonts w:ascii="仿宋_GB2312" w:eastAsia="仿宋_GB2312" w:hAnsi="Times New Roman" w:cs="Times New Roman"/>
          <w:sz w:val="32"/>
          <w:szCs w:val="32"/>
        </w:rPr>
        <w:t>收入</w:t>
      </w:r>
      <w:r w:rsidR="00082503">
        <w:rPr>
          <w:rFonts w:ascii="仿宋_GB2312" w:eastAsia="仿宋_GB2312" w:hAnsi="Times New Roman" w:cs="Times New Roman" w:hint="eastAsia"/>
          <w:sz w:val="32"/>
          <w:szCs w:val="32"/>
        </w:rPr>
        <w:t>0</w:t>
      </w:r>
      <w:r w:rsidR="003E1A7F"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附属单位上缴</w:t>
      </w:r>
      <w:r w:rsidR="00EF02FF">
        <w:rPr>
          <w:rFonts w:ascii="仿宋_GB2312" w:eastAsia="仿宋_GB2312" w:hAnsi="Times New Roman" w:cs="Times New Roman"/>
          <w:sz w:val="32"/>
          <w:szCs w:val="32"/>
        </w:rPr>
        <w:t>收入</w:t>
      </w:r>
      <w:r w:rsidR="00082503">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其他收入</w:t>
      </w:r>
      <w:r w:rsidR="00082503">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2、支出说明</w:t>
      </w:r>
    </w:p>
    <w:p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082503">
        <w:rPr>
          <w:rFonts w:ascii="仿宋_GB2312" w:eastAsia="仿宋_GB2312" w:hAnsi="Times New Roman" w:cs="Times New Roman" w:hint="eastAsia"/>
          <w:sz w:val="32"/>
          <w:szCs w:val="32"/>
        </w:rPr>
        <w:t>行政审批</w:t>
      </w:r>
      <w:r w:rsidR="00372A64">
        <w:rPr>
          <w:rFonts w:ascii="仿宋_GB2312" w:eastAsia="仿宋_GB2312" w:hAnsi="Times New Roman" w:cs="Times New Roman" w:hint="eastAsia"/>
          <w:sz w:val="32"/>
          <w:szCs w:val="32"/>
        </w:rPr>
        <w:t>局</w:t>
      </w:r>
      <w:r w:rsidR="00082503">
        <w:rPr>
          <w:rFonts w:ascii="仿宋_GB2312" w:eastAsia="仿宋_GB2312" w:hAnsi="Times New Roman" w:cs="Times New Roman" w:hint="eastAsia"/>
          <w:sz w:val="32"/>
          <w:szCs w:val="32"/>
        </w:rPr>
        <w:t xml:space="preserve"> </w:t>
      </w:r>
      <w:r w:rsidR="003C3A51">
        <w:rPr>
          <w:rFonts w:ascii="仿宋_GB2312" w:eastAsia="仿宋_GB2312" w:hAnsi="Times New Roman" w:cs="Times New Roman" w:hint="eastAsia"/>
          <w:sz w:val="32"/>
          <w:szCs w:val="32"/>
        </w:rPr>
        <w:t>20</w:t>
      </w:r>
      <w:r w:rsidR="00871D7B">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年度部门预算中支出预算的总体情况。</w:t>
      </w:r>
      <w:r w:rsidR="003C3A51">
        <w:rPr>
          <w:rFonts w:ascii="仿宋_GB2312" w:eastAsia="仿宋_GB2312" w:hAnsi="Times New Roman" w:cs="Times New Roman" w:hint="eastAsia"/>
          <w:sz w:val="32"/>
          <w:szCs w:val="32"/>
        </w:rPr>
        <w:t>20</w:t>
      </w:r>
      <w:r w:rsidR="00871D7B">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w:t>
      </w:r>
      <w:r w:rsidR="00382C33">
        <w:rPr>
          <w:rFonts w:ascii="仿宋_GB2312" w:eastAsia="仿宋_GB2312" w:hAnsi="Times New Roman" w:cs="Times New Roman" w:hint="eastAsia"/>
          <w:sz w:val="32"/>
          <w:szCs w:val="32"/>
        </w:rPr>
        <w:t>本部门</w:t>
      </w:r>
      <w:r w:rsidRPr="00952E5C">
        <w:rPr>
          <w:rFonts w:ascii="仿宋_GB2312" w:eastAsia="仿宋_GB2312" w:hAnsi="Times New Roman" w:cs="Times New Roman" w:hint="eastAsia"/>
          <w:sz w:val="32"/>
          <w:szCs w:val="32"/>
        </w:rPr>
        <w:t>支出预算</w:t>
      </w:r>
      <w:r w:rsidR="00082503" w:rsidRPr="00082503">
        <w:rPr>
          <w:rFonts w:ascii="仿宋_GB2312" w:eastAsia="仿宋_GB2312" w:hAnsi="Times New Roman" w:cs="Times New Roman"/>
          <w:sz w:val="32"/>
          <w:szCs w:val="32"/>
        </w:rPr>
        <w:t>2166.91</w:t>
      </w:r>
      <w:r w:rsidRPr="00952E5C">
        <w:rPr>
          <w:rFonts w:ascii="仿宋_GB2312" w:eastAsia="仿宋_GB2312" w:hAnsi="Times New Roman" w:cs="Times New Roman" w:hint="eastAsia"/>
          <w:sz w:val="32"/>
          <w:szCs w:val="32"/>
        </w:rPr>
        <w:t>万元，其中</w:t>
      </w:r>
      <w:r w:rsidR="005317B2" w:rsidRPr="00C1365D">
        <w:rPr>
          <w:rFonts w:ascii="仿宋_GB2312" w:eastAsia="仿宋_GB2312" w:hAnsi="Times New Roman" w:cs="Times New Roman" w:hint="eastAsia"/>
          <w:color w:val="000000" w:themeColor="text1"/>
          <w:sz w:val="32"/>
          <w:szCs w:val="32"/>
        </w:rPr>
        <w:t>：</w:t>
      </w:r>
      <w:r w:rsidRPr="00C1365D">
        <w:rPr>
          <w:rFonts w:ascii="仿宋_GB2312" w:eastAsia="仿宋_GB2312" w:hAnsi="Times New Roman" w:cs="Times New Roman" w:hint="eastAsia"/>
          <w:color w:val="000000" w:themeColor="text1"/>
          <w:sz w:val="32"/>
          <w:szCs w:val="32"/>
        </w:rPr>
        <w:t>基本支出</w:t>
      </w:r>
      <w:r w:rsidR="00082503" w:rsidRPr="00C1365D">
        <w:rPr>
          <w:rFonts w:ascii="仿宋_GB2312" w:eastAsia="仿宋_GB2312" w:hAnsi="Times New Roman" w:cs="Times New Roman"/>
          <w:color w:val="000000" w:themeColor="text1"/>
          <w:sz w:val="32"/>
          <w:szCs w:val="32"/>
        </w:rPr>
        <w:t>946.48</w:t>
      </w:r>
      <w:r w:rsidRPr="00C1365D">
        <w:rPr>
          <w:rFonts w:ascii="仿宋_GB2312" w:eastAsia="仿宋_GB2312" w:hAnsi="Times New Roman" w:cs="Times New Roman" w:hint="eastAsia"/>
          <w:color w:val="000000" w:themeColor="text1"/>
          <w:sz w:val="32"/>
          <w:szCs w:val="32"/>
        </w:rPr>
        <w:t>万元，包括</w:t>
      </w:r>
      <w:r w:rsidR="00D47E19" w:rsidRPr="00C1365D">
        <w:rPr>
          <w:rFonts w:ascii="仿宋_GB2312" w:eastAsia="仿宋_GB2312" w:hAnsi="Times New Roman" w:cs="Times New Roman" w:hint="eastAsia"/>
          <w:color w:val="000000" w:themeColor="text1"/>
          <w:sz w:val="32"/>
          <w:szCs w:val="32"/>
        </w:rPr>
        <w:t>：</w:t>
      </w:r>
      <w:r w:rsidRPr="00C1365D">
        <w:rPr>
          <w:rFonts w:ascii="仿宋_GB2312" w:eastAsia="仿宋_GB2312" w:hAnsi="Times New Roman" w:cs="Times New Roman" w:hint="eastAsia"/>
          <w:color w:val="000000" w:themeColor="text1"/>
          <w:sz w:val="32"/>
          <w:szCs w:val="32"/>
        </w:rPr>
        <w:t>人员经费</w:t>
      </w:r>
      <w:r w:rsidR="00082503" w:rsidRPr="00C1365D">
        <w:rPr>
          <w:rFonts w:ascii="仿宋_GB2312" w:eastAsia="仿宋_GB2312" w:hAnsi="Times New Roman" w:cs="Times New Roman"/>
          <w:color w:val="000000" w:themeColor="text1"/>
          <w:sz w:val="32"/>
          <w:szCs w:val="32"/>
        </w:rPr>
        <w:t>700.59</w:t>
      </w:r>
      <w:r w:rsidR="00D47E19" w:rsidRPr="00C1365D">
        <w:rPr>
          <w:rFonts w:ascii="仿宋_GB2312" w:eastAsia="仿宋_GB2312" w:hAnsi="Times New Roman" w:cs="Times New Roman"/>
          <w:color w:val="000000" w:themeColor="text1"/>
          <w:sz w:val="32"/>
          <w:szCs w:val="32"/>
        </w:rPr>
        <w:t>万元</w:t>
      </w:r>
      <w:r w:rsidRPr="00C1365D">
        <w:rPr>
          <w:rFonts w:ascii="仿宋_GB2312" w:eastAsia="仿宋_GB2312" w:hAnsi="Times New Roman" w:cs="Times New Roman" w:hint="eastAsia"/>
          <w:color w:val="000000" w:themeColor="text1"/>
          <w:sz w:val="32"/>
          <w:szCs w:val="32"/>
        </w:rPr>
        <w:t>和日常公用经费</w:t>
      </w:r>
      <w:r w:rsidR="00082503" w:rsidRPr="00C1365D">
        <w:rPr>
          <w:rFonts w:ascii="仿宋_GB2312" w:eastAsia="仿宋_GB2312" w:hAnsi="Times New Roman" w:cs="Times New Roman"/>
          <w:color w:val="000000" w:themeColor="text1"/>
          <w:sz w:val="32"/>
          <w:szCs w:val="32"/>
        </w:rPr>
        <w:t>245.89</w:t>
      </w:r>
      <w:r w:rsidR="00D47E19" w:rsidRPr="00C1365D">
        <w:rPr>
          <w:rFonts w:ascii="仿宋_GB2312" w:eastAsia="仿宋_GB2312" w:hAnsi="Times New Roman" w:cs="Times New Roman"/>
          <w:color w:val="000000" w:themeColor="text1"/>
          <w:sz w:val="32"/>
          <w:szCs w:val="32"/>
        </w:rPr>
        <w:t>万元</w:t>
      </w:r>
      <w:r w:rsidRPr="00C1365D">
        <w:rPr>
          <w:rFonts w:ascii="仿宋_GB2312" w:eastAsia="仿宋_GB2312" w:hAnsi="Times New Roman" w:cs="Times New Roman" w:hint="eastAsia"/>
          <w:color w:val="000000" w:themeColor="text1"/>
          <w:sz w:val="32"/>
          <w:szCs w:val="32"/>
        </w:rPr>
        <w:t>；项目支出</w:t>
      </w:r>
      <w:r w:rsidR="00082503" w:rsidRPr="00C1365D">
        <w:rPr>
          <w:rFonts w:ascii="仿宋_GB2312" w:eastAsia="仿宋_GB2312" w:hAnsi="Times New Roman" w:cs="Times New Roman"/>
          <w:color w:val="000000" w:themeColor="text1"/>
          <w:sz w:val="32"/>
          <w:szCs w:val="32"/>
        </w:rPr>
        <w:t>1220.43</w:t>
      </w:r>
      <w:r w:rsidRPr="00C1365D">
        <w:rPr>
          <w:rFonts w:ascii="仿宋_GB2312" w:eastAsia="仿宋_GB2312" w:hAnsi="Times New Roman" w:cs="Times New Roman" w:hint="eastAsia"/>
          <w:color w:val="000000" w:themeColor="text1"/>
          <w:sz w:val="32"/>
          <w:szCs w:val="32"/>
        </w:rPr>
        <w:lastRenderedPageBreak/>
        <w:t>万元，</w:t>
      </w:r>
      <w:r w:rsidR="007B2DCF">
        <w:rPr>
          <w:rFonts w:ascii="仿宋_GB2312" w:eastAsia="仿宋_GB2312" w:hAnsi="Times New Roman" w:cs="Times New Roman" w:hint="eastAsia"/>
          <w:sz w:val="32"/>
          <w:szCs w:val="32"/>
        </w:rPr>
        <w:t>全部为本级</w:t>
      </w:r>
      <w:r w:rsidR="007B2DCF">
        <w:rPr>
          <w:rFonts w:ascii="仿宋_GB2312" w:eastAsia="仿宋_GB2312" w:hAnsi="Times New Roman" w:cs="Times New Roman"/>
          <w:sz w:val="32"/>
          <w:szCs w:val="32"/>
        </w:rPr>
        <w:t>支出，</w:t>
      </w:r>
      <w:r w:rsidRPr="00952E5C">
        <w:rPr>
          <w:rFonts w:ascii="仿宋_GB2312" w:eastAsia="仿宋_GB2312" w:hAnsi="Times New Roman" w:cs="Times New Roman" w:hint="eastAsia"/>
          <w:sz w:val="32"/>
          <w:szCs w:val="32"/>
        </w:rPr>
        <w:t>主要为</w:t>
      </w:r>
      <w:r w:rsidR="00AB556C">
        <w:rPr>
          <w:rFonts w:ascii="仿宋_GB2312" w:eastAsia="仿宋_GB2312" w:hAnsi="Times New Roman" w:cs="Times New Roman" w:hint="eastAsia"/>
          <w:sz w:val="32"/>
          <w:szCs w:val="32"/>
        </w:rPr>
        <w:t>审批局房屋租赁</w:t>
      </w:r>
      <w:r w:rsidR="00C56175">
        <w:rPr>
          <w:rFonts w:ascii="仿宋_GB2312" w:eastAsia="仿宋_GB2312" w:hAnsi="Times New Roman" w:cs="Times New Roman" w:hint="eastAsia"/>
          <w:sz w:val="32"/>
          <w:szCs w:val="32"/>
        </w:rPr>
        <w:t>经</w:t>
      </w:r>
      <w:r w:rsidR="00AB556C">
        <w:rPr>
          <w:rFonts w:ascii="仿宋_GB2312" w:eastAsia="仿宋_GB2312" w:hAnsi="Times New Roman" w:cs="Times New Roman" w:hint="eastAsia"/>
          <w:sz w:val="32"/>
          <w:szCs w:val="32"/>
        </w:rPr>
        <w:t>费、固定资产投资节能评审和社会稳定风险评估工作经费、</w:t>
      </w:r>
      <w:r w:rsidR="00C56175">
        <w:rPr>
          <w:rFonts w:ascii="仿宋_GB2312" w:eastAsia="仿宋_GB2312" w:hAnsi="Times New Roman" w:cs="Times New Roman" w:hint="eastAsia"/>
          <w:sz w:val="32"/>
          <w:szCs w:val="32"/>
        </w:rPr>
        <w:t>行政</w:t>
      </w:r>
      <w:r w:rsidR="00AB556C">
        <w:rPr>
          <w:rFonts w:ascii="仿宋_GB2312" w:eastAsia="仿宋_GB2312" w:hAnsi="Times New Roman" w:cs="Times New Roman" w:hint="eastAsia"/>
          <w:sz w:val="32"/>
          <w:szCs w:val="32"/>
        </w:rPr>
        <w:t>审批局物业费及村级便民服务大厅视频监控及网络建设资金</w:t>
      </w:r>
      <w:r w:rsidRPr="00952E5C">
        <w:rPr>
          <w:rFonts w:ascii="仿宋_GB2312" w:eastAsia="仿宋_GB2312" w:hAnsi="Times New Roman" w:cs="Times New Roman" w:hint="eastAsia"/>
          <w:sz w:val="32"/>
          <w:szCs w:val="32"/>
        </w:rPr>
        <w:t>等；</w:t>
      </w:r>
      <w:r w:rsidR="000C3A19" w:rsidRPr="00952E5C">
        <w:rPr>
          <w:rFonts w:ascii="仿宋_GB2312" w:eastAsia="仿宋_GB2312" w:hAnsi="Times New Roman" w:cs="Times New Roman" w:hint="eastAsia"/>
          <w:sz w:val="32"/>
          <w:szCs w:val="32"/>
        </w:rPr>
        <w:t>上缴上级支出</w:t>
      </w:r>
      <w:r w:rsidR="00AB556C">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9116AC">
        <w:rPr>
          <w:rFonts w:ascii="仿宋_GB2312" w:eastAsia="仿宋_GB2312" w:hAnsi="Times New Roman" w:cs="Times New Roman" w:hint="eastAsia"/>
          <w:sz w:val="32"/>
          <w:szCs w:val="32"/>
        </w:rPr>
        <w:t>，</w:t>
      </w:r>
      <w:r w:rsidR="009116AC">
        <w:rPr>
          <w:rFonts w:ascii="仿宋_GB2312" w:eastAsia="仿宋_GB2312" w:hAnsi="Times New Roman" w:cs="Times New Roman"/>
          <w:sz w:val="32"/>
          <w:szCs w:val="32"/>
        </w:rPr>
        <w:t>经营支出</w:t>
      </w:r>
      <w:r w:rsidR="00AB556C">
        <w:rPr>
          <w:rFonts w:ascii="仿宋_GB2312" w:eastAsia="仿宋_GB2312" w:hAnsi="Times New Roman" w:cs="Times New Roman" w:hint="eastAsia"/>
          <w:sz w:val="32"/>
          <w:szCs w:val="32"/>
        </w:rPr>
        <w:t>0</w:t>
      </w:r>
      <w:r w:rsidR="009116AC">
        <w:rPr>
          <w:rFonts w:ascii="仿宋_GB2312" w:eastAsia="仿宋_GB2312" w:hAnsi="Times New Roman" w:cs="Times New Roman"/>
          <w:sz w:val="32"/>
          <w:szCs w:val="32"/>
        </w:rPr>
        <w:t>万元，</w:t>
      </w:r>
      <w:r w:rsidR="009116AC">
        <w:rPr>
          <w:rFonts w:ascii="仿宋_GB2312" w:eastAsia="仿宋_GB2312" w:hAnsi="Times New Roman" w:cs="Times New Roman" w:hint="eastAsia"/>
          <w:sz w:val="32"/>
          <w:szCs w:val="32"/>
        </w:rPr>
        <w:t>对附属单位补助</w:t>
      </w:r>
      <w:r w:rsidR="000C3A19" w:rsidRPr="00952E5C">
        <w:rPr>
          <w:rFonts w:ascii="仿宋_GB2312" w:eastAsia="仿宋_GB2312" w:hAnsi="Times New Roman" w:cs="Times New Roman" w:hint="eastAsia"/>
          <w:sz w:val="32"/>
          <w:szCs w:val="32"/>
        </w:rPr>
        <w:t>支出</w:t>
      </w:r>
      <w:r w:rsidR="00AB556C">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4E74CD" w:rsidRPr="00952E5C">
        <w:rPr>
          <w:rFonts w:ascii="仿宋_GB2312" w:eastAsia="仿宋_GB2312" w:hAnsi="Times New Roman" w:cs="Times New Roman" w:hint="eastAsia"/>
          <w:sz w:val="32"/>
          <w:szCs w:val="32"/>
        </w:rPr>
        <w:t>。</w:t>
      </w:r>
    </w:p>
    <w:p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3、比上年增减情况</w:t>
      </w:r>
    </w:p>
    <w:p w:rsidR="00776C08" w:rsidRPr="00447865" w:rsidRDefault="003C3A51" w:rsidP="00776C08">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20</w:t>
      </w:r>
      <w:r w:rsidR="00776C08" w:rsidRPr="00447865">
        <w:rPr>
          <w:rFonts w:ascii="仿宋_GB2312" w:eastAsia="仿宋_GB2312" w:hAnsi="Times New Roman" w:cs="Times New Roman" w:hint="eastAsia"/>
          <w:color w:val="000000" w:themeColor="text1"/>
          <w:sz w:val="32"/>
          <w:szCs w:val="32"/>
        </w:rPr>
        <w:t>年预算收支安排</w:t>
      </w:r>
      <w:r w:rsidR="00AB556C" w:rsidRPr="00082503">
        <w:rPr>
          <w:rFonts w:ascii="仿宋_GB2312" w:eastAsia="仿宋_GB2312" w:hAnsi="Times New Roman" w:cs="Times New Roman"/>
          <w:sz w:val="32"/>
          <w:szCs w:val="32"/>
        </w:rPr>
        <w:t>2166.91</w:t>
      </w:r>
      <w:r w:rsidR="00776C08" w:rsidRPr="00447865">
        <w:rPr>
          <w:rFonts w:ascii="仿宋_GB2312" w:eastAsia="仿宋_GB2312" w:hAnsi="Times New Roman" w:cs="Times New Roman" w:hint="eastAsia"/>
          <w:color w:val="000000" w:themeColor="text1"/>
          <w:sz w:val="32"/>
          <w:szCs w:val="32"/>
        </w:rPr>
        <w:t>万元，较</w:t>
      </w:r>
      <w:r w:rsidR="00315445" w:rsidRPr="00447865">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19</w:t>
      </w:r>
      <w:r w:rsidR="00776C08" w:rsidRPr="00447865">
        <w:rPr>
          <w:rFonts w:ascii="仿宋_GB2312" w:eastAsia="仿宋_GB2312" w:hAnsi="Times New Roman" w:cs="Times New Roman" w:hint="eastAsia"/>
          <w:color w:val="000000" w:themeColor="text1"/>
          <w:sz w:val="32"/>
          <w:szCs w:val="32"/>
        </w:rPr>
        <w:t>年预算</w:t>
      </w:r>
      <w:r w:rsidR="00776C08" w:rsidRPr="00C1365D">
        <w:rPr>
          <w:rFonts w:ascii="仿宋_GB2312" w:eastAsia="仿宋_GB2312" w:hAnsi="Times New Roman" w:cs="Times New Roman" w:hint="eastAsia"/>
          <w:color w:val="000000" w:themeColor="text1"/>
          <w:sz w:val="32"/>
          <w:szCs w:val="32"/>
        </w:rPr>
        <w:t>增加</w:t>
      </w:r>
      <w:r w:rsidR="00C1365D">
        <w:rPr>
          <w:rFonts w:ascii="仿宋_GB2312" w:eastAsia="仿宋_GB2312" w:hAnsi="Times New Roman" w:cs="Times New Roman" w:hint="eastAsia"/>
          <w:color w:val="000000" w:themeColor="text1"/>
          <w:sz w:val="32"/>
          <w:szCs w:val="32"/>
        </w:rPr>
        <w:t>598.19</w:t>
      </w:r>
      <w:r w:rsidR="00776C08" w:rsidRPr="00447865">
        <w:rPr>
          <w:rFonts w:ascii="仿宋_GB2312" w:eastAsia="仿宋_GB2312" w:hAnsi="Times New Roman" w:cs="Times New Roman" w:hint="eastAsia"/>
          <w:color w:val="000000" w:themeColor="text1"/>
          <w:sz w:val="32"/>
          <w:szCs w:val="32"/>
        </w:rPr>
        <w:t>万元，其中：基本支出</w:t>
      </w:r>
      <w:r w:rsidR="00C1365D" w:rsidRPr="00C1365D">
        <w:rPr>
          <w:rFonts w:ascii="仿宋_GB2312" w:eastAsia="仿宋_GB2312" w:hAnsi="Times New Roman" w:cs="Times New Roman" w:hint="eastAsia"/>
          <w:color w:val="000000" w:themeColor="text1"/>
          <w:sz w:val="32"/>
          <w:szCs w:val="32"/>
        </w:rPr>
        <w:t>增加</w:t>
      </w:r>
      <w:r w:rsidR="00C1365D">
        <w:rPr>
          <w:rFonts w:ascii="仿宋_GB2312" w:eastAsia="仿宋_GB2312" w:hAnsi="Times New Roman" w:cs="Times New Roman" w:hint="eastAsia"/>
          <w:color w:val="000000" w:themeColor="text1"/>
          <w:sz w:val="32"/>
          <w:szCs w:val="32"/>
        </w:rPr>
        <w:t>124.35</w:t>
      </w:r>
      <w:r w:rsidR="00776C08" w:rsidRPr="00447865">
        <w:rPr>
          <w:rFonts w:ascii="仿宋_GB2312" w:eastAsia="仿宋_GB2312" w:hAnsi="Times New Roman" w:cs="Times New Roman" w:hint="eastAsia"/>
          <w:color w:val="000000" w:themeColor="text1"/>
          <w:sz w:val="32"/>
          <w:szCs w:val="32"/>
        </w:rPr>
        <w:t>万元，主要为</w:t>
      </w:r>
      <w:r w:rsidR="0047687D">
        <w:rPr>
          <w:rFonts w:ascii="仿宋_GB2312" w:eastAsia="仿宋_GB2312" w:hAnsi="Times New Roman" w:cs="Times New Roman" w:hint="eastAsia"/>
          <w:color w:val="000000" w:themeColor="text1"/>
          <w:sz w:val="32"/>
          <w:szCs w:val="32"/>
        </w:rPr>
        <w:t>增加新调入工作人员产生的人员经费和日常公用经费</w:t>
      </w:r>
      <w:r w:rsidR="00776C08" w:rsidRPr="00447865">
        <w:rPr>
          <w:rFonts w:ascii="仿宋_GB2312" w:eastAsia="仿宋_GB2312" w:hAnsi="Times New Roman" w:cs="Times New Roman" w:hint="eastAsia"/>
          <w:color w:val="000000" w:themeColor="text1"/>
          <w:sz w:val="32"/>
          <w:szCs w:val="32"/>
        </w:rPr>
        <w:t>；项目支出</w:t>
      </w:r>
      <w:r w:rsidR="0047687D">
        <w:rPr>
          <w:rFonts w:ascii="仿宋_GB2312" w:eastAsia="仿宋_GB2312" w:hAnsi="Times New Roman" w:cs="Times New Roman" w:hint="eastAsia"/>
          <w:color w:val="000000" w:themeColor="text1"/>
          <w:sz w:val="32"/>
          <w:szCs w:val="32"/>
        </w:rPr>
        <w:t>增加47</w:t>
      </w:r>
      <w:r w:rsidR="0047687D" w:rsidRPr="0047687D">
        <w:rPr>
          <w:rFonts w:ascii="仿宋_GB2312" w:eastAsia="仿宋_GB2312" w:hAnsi="Times New Roman" w:cs="Times New Roman" w:hint="eastAsia"/>
          <w:color w:val="000000" w:themeColor="text1"/>
          <w:sz w:val="32"/>
          <w:szCs w:val="32"/>
        </w:rPr>
        <w:t>3.84</w:t>
      </w:r>
      <w:r w:rsidR="00776C08" w:rsidRPr="00447865">
        <w:rPr>
          <w:rFonts w:ascii="仿宋_GB2312" w:eastAsia="仿宋_GB2312" w:hAnsi="Times New Roman" w:cs="Times New Roman" w:hint="eastAsia"/>
          <w:color w:val="000000" w:themeColor="text1"/>
          <w:sz w:val="32"/>
          <w:szCs w:val="32"/>
        </w:rPr>
        <w:t>万元，主要为</w:t>
      </w:r>
      <w:r w:rsidR="0047687D">
        <w:rPr>
          <w:rFonts w:ascii="仿宋_GB2312" w:eastAsia="仿宋_GB2312" w:hAnsi="Times New Roman" w:cs="Times New Roman" w:hint="eastAsia"/>
          <w:color w:val="000000" w:themeColor="text1"/>
          <w:sz w:val="32"/>
          <w:szCs w:val="32"/>
        </w:rPr>
        <w:t>增加村级便民服务大厅建设费及</w:t>
      </w:r>
      <w:r w:rsidR="00C56175">
        <w:rPr>
          <w:rFonts w:ascii="仿宋_GB2312" w:eastAsia="仿宋_GB2312" w:hAnsi="Times New Roman" w:cs="Times New Roman" w:hint="eastAsia"/>
          <w:color w:val="000000" w:themeColor="text1"/>
          <w:sz w:val="32"/>
          <w:szCs w:val="32"/>
        </w:rPr>
        <w:t>审批局</w:t>
      </w:r>
      <w:r w:rsidR="0047687D">
        <w:rPr>
          <w:rFonts w:ascii="仿宋_GB2312" w:eastAsia="仿宋_GB2312" w:hAnsi="Times New Roman" w:cs="Times New Roman" w:hint="eastAsia"/>
          <w:color w:val="000000" w:themeColor="text1"/>
          <w:sz w:val="32"/>
          <w:szCs w:val="32"/>
        </w:rPr>
        <w:t>房屋租赁</w:t>
      </w:r>
      <w:r w:rsidR="00C56175">
        <w:rPr>
          <w:rFonts w:ascii="仿宋_GB2312" w:eastAsia="仿宋_GB2312" w:hAnsi="Times New Roman" w:cs="Times New Roman" w:hint="eastAsia"/>
          <w:color w:val="000000" w:themeColor="text1"/>
          <w:sz w:val="32"/>
          <w:szCs w:val="32"/>
        </w:rPr>
        <w:t>经</w:t>
      </w:r>
      <w:r w:rsidR="0047687D">
        <w:rPr>
          <w:rFonts w:ascii="仿宋_GB2312" w:eastAsia="仿宋_GB2312" w:hAnsi="Times New Roman" w:cs="Times New Roman" w:hint="eastAsia"/>
          <w:color w:val="000000" w:themeColor="text1"/>
          <w:sz w:val="32"/>
          <w:szCs w:val="32"/>
        </w:rPr>
        <w:t>费等</w:t>
      </w:r>
      <w:r w:rsidR="00776C08" w:rsidRPr="00447865">
        <w:rPr>
          <w:rFonts w:ascii="仿宋_GB2312" w:eastAsia="仿宋_GB2312" w:hAnsi="Times New Roman" w:cs="Times New Roman" w:hint="eastAsia"/>
          <w:color w:val="000000" w:themeColor="text1"/>
          <w:sz w:val="32"/>
          <w:szCs w:val="32"/>
        </w:rPr>
        <w:t>项目支出。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rsidR="006679BA" w:rsidRPr="000B6A65" w:rsidRDefault="008E4261"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机关</w:t>
      </w:r>
      <w:r w:rsidR="00CD2773" w:rsidRPr="00952E5C">
        <w:rPr>
          <w:rFonts w:ascii="仿宋_GB2312" w:eastAsia="仿宋_GB2312" w:hAnsi="Times New Roman" w:cs="Times New Roman" w:hint="eastAsia"/>
          <w:sz w:val="32"/>
          <w:szCs w:val="32"/>
        </w:rPr>
        <w:t>运行经费共计安排</w:t>
      </w:r>
      <w:r w:rsidR="00AB556C">
        <w:rPr>
          <w:rFonts w:ascii="仿宋_GB2312" w:eastAsia="仿宋_GB2312" w:hAnsi="Times New Roman" w:cs="Times New Roman" w:hint="eastAsia"/>
          <w:sz w:val="32"/>
          <w:szCs w:val="32"/>
        </w:rPr>
        <w:t>245.89</w:t>
      </w:r>
      <w:r w:rsidR="00B43238" w:rsidRPr="00952E5C">
        <w:rPr>
          <w:rFonts w:ascii="仿宋_GB2312" w:eastAsia="仿宋_GB2312" w:hAnsi="Times New Roman" w:cs="Times New Roman" w:hint="eastAsia"/>
          <w:sz w:val="32"/>
          <w:szCs w:val="32"/>
        </w:rPr>
        <w:t>万元</w:t>
      </w:r>
      <w:r w:rsidRPr="00952E5C">
        <w:rPr>
          <w:rFonts w:ascii="仿宋_GB2312" w:eastAsia="仿宋_GB2312" w:hAnsi="Times New Roman" w:cs="Times New Roman" w:hint="eastAsia"/>
          <w:sz w:val="32"/>
          <w:szCs w:val="32"/>
        </w:rPr>
        <w:t>，主要用于</w:t>
      </w:r>
      <w:r w:rsidRPr="000B6A65">
        <w:rPr>
          <w:rFonts w:ascii="仿宋_GB2312" w:eastAsia="仿宋_GB2312" w:hAnsi="Times New Roman" w:cs="Times New Roman" w:hint="eastAsia"/>
          <w:sz w:val="32"/>
          <w:szCs w:val="32"/>
        </w:rPr>
        <w:t>办公区</w:t>
      </w:r>
      <w:r w:rsidR="00451871" w:rsidRPr="000B6A65">
        <w:rPr>
          <w:rFonts w:ascii="仿宋_GB2312" w:eastAsia="仿宋_GB2312" w:hAnsi="Times New Roman" w:cs="Times New Roman" w:hint="eastAsia"/>
          <w:sz w:val="32"/>
          <w:szCs w:val="32"/>
        </w:rPr>
        <w:t>的日常维修、办公用房水电费、办公用房取暖费</w:t>
      </w:r>
      <w:r w:rsidR="00B6666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办公及印刷费，邮电费、差旅费、</w:t>
      </w:r>
      <w:r w:rsidR="008E4999">
        <w:rPr>
          <w:rFonts w:ascii="仿宋_GB2312" w:eastAsia="仿宋_GB2312" w:hAnsi="Times New Roman" w:cs="Times New Roman" w:hint="eastAsia"/>
          <w:sz w:val="32"/>
          <w:szCs w:val="32"/>
        </w:rPr>
        <w:t>培训</w:t>
      </w:r>
      <w:r w:rsidR="0052680D" w:rsidRPr="000B6A65">
        <w:rPr>
          <w:rFonts w:ascii="仿宋_GB2312" w:eastAsia="仿宋_GB2312" w:hAnsi="Times New Roman" w:cs="Times New Roman" w:hint="eastAsia"/>
          <w:sz w:val="32"/>
          <w:szCs w:val="32"/>
        </w:rPr>
        <w:t>费、</w:t>
      </w:r>
      <w:r w:rsidR="008E4999">
        <w:rPr>
          <w:rFonts w:ascii="仿宋_GB2312" w:eastAsia="仿宋_GB2312" w:hAnsi="Times New Roman" w:cs="Times New Roman" w:hint="eastAsia"/>
          <w:sz w:val="32"/>
          <w:szCs w:val="32"/>
        </w:rPr>
        <w:t>劳务费、</w:t>
      </w:r>
      <w:r w:rsidR="0052680D" w:rsidRPr="000B6A65">
        <w:rPr>
          <w:rFonts w:ascii="仿宋_GB2312" w:eastAsia="仿宋_GB2312" w:hAnsi="Times New Roman" w:cs="Times New Roman" w:hint="eastAsia"/>
          <w:sz w:val="32"/>
          <w:szCs w:val="32"/>
        </w:rPr>
        <w:t>福利费、专用材料及一般设备购置费、办公用房物业管理费、公务用车运行维护费</w:t>
      </w:r>
      <w:r w:rsidR="00B2755C" w:rsidRPr="000B6A65">
        <w:rPr>
          <w:rFonts w:ascii="仿宋_GB2312" w:eastAsia="仿宋_GB2312" w:hAnsi="Times New Roman" w:cs="Times New Roman" w:hint="eastAsia"/>
          <w:sz w:val="32"/>
          <w:szCs w:val="32"/>
        </w:rPr>
        <w:t>等日常运行支出。</w:t>
      </w:r>
    </w:p>
    <w:p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rsidR="00075D5F" w:rsidRPr="002C42FA" w:rsidRDefault="003C3A51" w:rsidP="008E499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sidR="005A4371">
        <w:rPr>
          <w:rFonts w:ascii="仿宋_GB2312" w:eastAsia="仿宋_GB2312" w:hAnsi="Times New Roman" w:cs="Times New Roman"/>
          <w:sz w:val="32"/>
          <w:szCs w:val="32"/>
        </w:rPr>
        <w:t>20</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8E4999" w:rsidRPr="008E4999">
        <w:rPr>
          <w:rFonts w:ascii="仿宋_GB2312" w:eastAsia="仿宋_GB2312" w:hAnsi="Times New Roman" w:cs="Times New Roman"/>
          <w:sz w:val="32"/>
          <w:szCs w:val="32"/>
        </w:rPr>
        <w:t>35.44</w:t>
      </w:r>
      <w:r w:rsidR="00EC47F6" w:rsidRPr="00952E5C">
        <w:rPr>
          <w:rFonts w:ascii="仿宋_GB2312" w:eastAsia="仿宋_GB2312" w:hAnsi="Times New Roman" w:cs="Times New Roman" w:hint="eastAsia"/>
          <w:sz w:val="32"/>
          <w:szCs w:val="32"/>
        </w:rPr>
        <w:t>万元，其中</w:t>
      </w:r>
      <w:r w:rsidR="00FF0EC6">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因公出国（境）费</w:t>
      </w:r>
      <w:r w:rsidR="008E4999">
        <w:rPr>
          <w:rFonts w:ascii="仿宋_GB2312" w:eastAsia="仿宋_GB2312" w:hAnsi="Times New Roman" w:cs="Times New Roman" w:hint="eastAsia"/>
          <w:sz w:val="32"/>
          <w:szCs w:val="32"/>
        </w:rPr>
        <w:t>0</w:t>
      </w:r>
      <w:r w:rsidR="00EC47F6" w:rsidRPr="00952E5C">
        <w:rPr>
          <w:rFonts w:ascii="仿宋_GB2312" w:eastAsia="仿宋_GB2312" w:hAnsi="Times New Roman" w:cs="Times New Roman" w:hint="eastAsia"/>
          <w:sz w:val="32"/>
          <w:szCs w:val="32"/>
        </w:rPr>
        <w:t>万元；公务用</w:t>
      </w:r>
      <w:r w:rsidR="00EC47F6" w:rsidRPr="00952E5C">
        <w:rPr>
          <w:rFonts w:ascii="仿宋_GB2312" w:eastAsia="仿宋_GB2312" w:hAnsi="Times New Roman" w:cs="Times New Roman" w:hint="eastAsia"/>
          <w:sz w:val="32"/>
          <w:szCs w:val="32"/>
        </w:rPr>
        <w:lastRenderedPageBreak/>
        <w:t>车购置及运维费</w:t>
      </w:r>
      <w:r w:rsidR="008E4999" w:rsidRPr="008E4999">
        <w:rPr>
          <w:rFonts w:ascii="仿宋_GB2312" w:eastAsia="仿宋_GB2312" w:hAnsi="Times New Roman" w:cs="Times New Roman"/>
          <w:sz w:val="32"/>
          <w:szCs w:val="32"/>
        </w:rPr>
        <w:t>34.36</w:t>
      </w:r>
      <w:r w:rsidR="00FF0EC6">
        <w:rPr>
          <w:rFonts w:ascii="仿宋_GB2312" w:eastAsia="仿宋_GB2312" w:hAnsi="Times New Roman" w:cs="Times New Roman" w:hint="eastAsia"/>
          <w:sz w:val="32"/>
          <w:szCs w:val="32"/>
        </w:rPr>
        <w:t>万元（其中：公务用车购置费</w:t>
      </w:r>
      <w:r w:rsidR="008E4999">
        <w:rPr>
          <w:rFonts w:ascii="仿宋_GB2312" w:eastAsia="仿宋_GB2312" w:hAnsi="Times New Roman" w:cs="Times New Roman" w:hint="eastAsia"/>
          <w:sz w:val="32"/>
          <w:szCs w:val="32"/>
        </w:rPr>
        <w:t>26.86</w:t>
      </w:r>
      <w:r w:rsidR="00FF0EC6">
        <w:rPr>
          <w:rFonts w:ascii="仿宋_GB2312" w:eastAsia="仿宋_GB2312" w:hAnsi="Times New Roman" w:cs="Times New Roman" w:hint="eastAsia"/>
          <w:sz w:val="32"/>
          <w:szCs w:val="32"/>
        </w:rPr>
        <w:t>万元</w:t>
      </w:r>
      <w:r w:rsidR="008E4999">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，公务用车运行</w:t>
      </w:r>
      <w:r w:rsidR="00FF0EC6">
        <w:rPr>
          <w:rFonts w:ascii="仿宋_GB2312" w:eastAsia="仿宋_GB2312" w:hAnsi="Times New Roman" w:cs="Times New Roman" w:hint="eastAsia"/>
          <w:sz w:val="32"/>
          <w:szCs w:val="32"/>
        </w:rPr>
        <w:t>维护</w:t>
      </w:r>
      <w:r w:rsidR="00EC47F6" w:rsidRPr="00952E5C">
        <w:rPr>
          <w:rFonts w:ascii="仿宋_GB2312" w:eastAsia="仿宋_GB2312" w:hAnsi="Times New Roman" w:cs="Times New Roman" w:hint="eastAsia"/>
          <w:sz w:val="32"/>
          <w:szCs w:val="32"/>
        </w:rPr>
        <w:t>费</w:t>
      </w:r>
      <w:r w:rsidR="008E4999">
        <w:rPr>
          <w:rFonts w:ascii="仿宋_GB2312" w:eastAsia="仿宋_GB2312" w:hAnsi="Times New Roman" w:cs="Times New Roman" w:hint="eastAsia"/>
          <w:sz w:val="32"/>
          <w:szCs w:val="32"/>
        </w:rPr>
        <w:t>7.5</w:t>
      </w:r>
      <w:r w:rsidR="00EC47F6" w:rsidRPr="00952E5C">
        <w:rPr>
          <w:rFonts w:ascii="仿宋_GB2312" w:eastAsia="仿宋_GB2312" w:hAnsi="Times New Roman" w:cs="Times New Roman" w:hint="eastAsia"/>
          <w:sz w:val="32"/>
          <w:szCs w:val="32"/>
        </w:rPr>
        <w:t>万元)；公务接待费</w:t>
      </w:r>
      <w:r w:rsidR="008E4999">
        <w:rPr>
          <w:rFonts w:ascii="仿宋_GB2312" w:eastAsia="仿宋_GB2312" w:hAnsi="Times New Roman" w:cs="Times New Roman" w:hint="eastAsia"/>
          <w:sz w:val="32"/>
          <w:szCs w:val="32"/>
        </w:rPr>
        <w:t>1.08</w:t>
      </w:r>
      <w:r w:rsidR="005F366F">
        <w:rPr>
          <w:rFonts w:ascii="仿宋_GB2312" w:eastAsia="仿宋_GB2312" w:hAnsi="Times New Roman" w:cs="Times New Roman" w:hint="eastAsia"/>
          <w:sz w:val="32"/>
          <w:szCs w:val="32"/>
        </w:rPr>
        <w:t>万元，</w:t>
      </w:r>
      <w:r w:rsidR="00044DC9">
        <w:rPr>
          <w:rFonts w:ascii="仿宋_GB2312" w:eastAsia="仿宋_GB2312" w:hAnsi="Times New Roman" w:cs="Times New Roman" w:hint="eastAsia"/>
          <w:sz w:val="32"/>
          <w:szCs w:val="32"/>
        </w:rPr>
        <w:t>较</w:t>
      </w:r>
      <w:r w:rsidR="004F6A54">
        <w:rPr>
          <w:rFonts w:ascii="仿宋_GB2312" w:eastAsia="仿宋_GB2312" w:hAnsi="Times New Roman" w:cs="Times New Roman" w:hint="eastAsia"/>
          <w:sz w:val="32"/>
          <w:szCs w:val="32"/>
        </w:rPr>
        <w:t>20</w:t>
      </w:r>
      <w:r w:rsidR="005A4371">
        <w:rPr>
          <w:rFonts w:ascii="仿宋_GB2312" w:eastAsia="仿宋_GB2312" w:hAnsi="Times New Roman" w:cs="Times New Roman"/>
          <w:sz w:val="32"/>
          <w:szCs w:val="32"/>
        </w:rPr>
        <w:t>19</w:t>
      </w:r>
      <w:r w:rsidR="002F3E58" w:rsidRPr="00952E5C">
        <w:rPr>
          <w:rFonts w:ascii="仿宋_GB2312" w:eastAsia="仿宋_GB2312" w:hAnsi="Times New Roman" w:cs="Times New Roman" w:hint="eastAsia"/>
          <w:sz w:val="32"/>
          <w:szCs w:val="32"/>
        </w:rPr>
        <w:t>年</w:t>
      </w:r>
      <w:r w:rsidR="001A210E">
        <w:rPr>
          <w:rFonts w:ascii="仿宋_GB2312" w:eastAsia="仿宋_GB2312" w:hAnsi="Times New Roman" w:cs="Times New Roman" w:hint="eastAsia"/>
          <w:sz w:val="32"/>
          <w:szCs w:val="32"/>
        </w:rPr>
        <w:t>“三公”经费</w:t>
      </w:r>
      <w:r w:rsidR="008E4999">
        <w:rPr>
          <w:rFonts w:ascii="仿宋_GB2312" w:eastAsia="仿宋_GB2312" w:hAnsi="Times New Roman" w:cs="Times New Roman" w:hint="eastAsia"/>
          <w:sz w:val="32"/>
          <w:szCs w:val="32"/>
        </w:rPr>
        <w:t>增加</w:t>
      </w:r>
      <w:r w:rsidR="008E4999" w:rsidRPr="008E4999">
        <w:rPr>
          <w:rFonts w:ascii="仿宋_GB2312" w:eastAsia="仿宋_GB2312" w:hAnsi="Times New Roman" w:cs="Times New Roman" w:hint="eastAsia"/>
          <w:sz w:val="32"/>
          <w:szCs w:val="32"/>
        </w:rPr>
        <w:t>26.</w:t>
      </w:r>
      <w:r w:rsidR="008E4999" w:rsidRPr="0047687D">
        <w:rPr>
          <w:rFonts w:ascii="仿宋_GB2312" w:eastAsia="仿宋_GB2312" w:hAnsi="Times New Roman" w:cs="Times New Roman" w:hint="eastAsia"/>
          <w:color w:val="000000" w:themeColor="text1"/>
          <w:sz w:val="32"/>
          <w:szCs w:val="32"/>
        </w:rPr>
        <w:t>86</w:t>
      </w:r>
      <w:r w:rsidR="001A210E" w:rsidRPr="0047687D">
        <w:rPr>
          <w:rFonts w:ascii="仿宋_GB2312" w:eastAsia="仿宋_GB2312" w:hAnsi="Times New Roman" w:cs="Times New Roman" w:hint="eastAsia"/>
          <w:color w:val="000000" w:themeColor="text1"/>
          <w:sz w:val="32"/>
          <w:szCs w:val="32"/>
        </w:rPr>
        <w:t>万元，主要</w:t>
      </w:r>
      <w:r w:rsidR="008502D8" w:rsidRPr="0047687D">
        <w:rPr>
          <w:rFonts w:ascii="仿宋_GB2312" w:eastAsia="仿宋_GB2312" w:hAnsi="Times New Roman" w:cs="Times New Roman" w:hint="eastAsia"/>
          <w:color w:val="000000" w:themeColor="text1"/>
          <w:sz w:val="32"/>
          <w:szCs w:val="32"/>
        </w:rPr>
        <w:t>是</w:t>
      </w:r>
      <w:r w:rsidR="001A210E" w:rsidRPr="0047687D">
        <w:rPr>
          <w:rFonts w:ascii="仿宋_GB2312" w:eastAsia="仿宋_GB2312" w:hAnsi="Times New Roman" w:cs="Times New Roman" w:hint="eastAsia"/>
          <w:color w:val="000000" w:themeColor="text1"/>
          <w:sz w:val="32"/>
          <w:szCs w:val="32"/>
        </w:rPr>
        <w:t>因为</w:t>
      </w:r>
      <w:r w:rsidR="008E4999" w:rsidRPr="0047687D">
        <w:rPr>
          <w:rFonts w:ascii="仿宋_GB2312" w:eastAsia="仿宋_GB2312" w:hAnsi="Times New Roman" w:cs="Times New Roman" w:hint="eastAsia"/>
          <w:color w:val="000000" w:themeColor="text1"/>
          <w:sz w:val="32"/>
          <w:szCs w:val="32"/>
        </w:rPr>
        <w:t>因公出国（境）费与201</w:t>
      </w:r>
      <w:r w:rsidR="008E4999" w:rsidRPr="0047687D">
        <w:rPr>
          <w:rFonts w:ascii="仿宋_GB2312" w:eastAsia="仿宋_GB2312" w:hAnsi="Times New Roman" w:cs="Times New Roman"/>
          <w:color w:val="000000" w:themeColor="text1"/>
          <w:sz w:val="32"/>
          <w:szCs w:val="32"/>
        </w:rPr>
        <w:t>9</w:t>
      </w:r>
      <w:r w:rsidR="008E4999" w:rsidRPr="0047687D">
        <w:rPr>
          <w:rFonts w:ascii="仿宋_GB2312" w:eastAsia="仿宋_GB2312" w:hAnsi="Times New Roman" w:cs="Times New Roman" w:hint="eastAsia"/>
          <w:color w:val="000000" w:themeColor="text1"/>
          <w:sz w:val="32"/>
          <w:szCs w:val="32"/>
        </w:rPr>
        <w:t>年持平，无增减变化；公务用车购置费增加26.86万元，增加原因为</w:t>
      </w:r>
      <w:r w:rsidR="008E4999" w:rsidRPr="0047687D">
        <w:rPr>
          <w:rFonts w:ascii="仿宋_GB2312" w:eastAsia="仿宋_GB2312" w:hAnsi="Times New Roman" w:cs="Times New Roman"/>
          <w:color w:val="000000" w:themeColor="text1"/>
          <w:sz w:val="32"/>
          <w:szCs w:val="32"/>
        </w:rPr>
        <w:t>我部门</w:t>
      </w:r>
      <w:r w:rsidR="008E4999" w:rsidRPr="0047687D">
        <w:rPr>
          <w:rFonts w:ascii="仿宋_GB2312" w:eastAsia="仿宋_GB2312" w:hAnsi="Times New Roman" w:cs="Times New Roman" w:hint="eastAsia"/>
          <w:color w:val="000000" w:themeColor="text1"/>
          <w:sz w:val="32"/>
          <w:szCs w:val="32"/>
        </w:rPr>
        <w:t>需购置两辆</w:t>
      </w:r>
      <w:r w:rsidR="0047687D" w:rsidRPr="0047687D">
        <w:rPr>
          <w:rFonts w:ascii="仿宋_GB2312" w:eastAsia="仿宋_GB2312" w:hAnsi="Times New Roman" w:cs="Times New Roman" w:hint="eastAsia"/>
          <w:color w:val="000000" w:themeColor="text1"/>
          <w:sz w:val="32"/>
          <w:szCs w:val="32"/>
        </w:rPr>
        <w:t>公务踏勘</w:t>
      </w:r>
      <w:r w:rsidR="008E4999" w:rsidRPr="0047687D">
        <w:rPr>
          <w:rFonts w:ascii="仿宋_GB2312" w:eastAsia="仿宋_GB2312" w:hAnsi="Times New Roman" w:cs="Times New Roman"/>
          <w:color w:val="000000" w:themeColor="text1"/>
          <w:sz w:val="32"/>
          <w:szCs w:val="32"/>
        </w:rPr>
        <w:t>用车</w:t>
      </w:r>
      <w:r w:rsidR="008E4999" w:rsidRPr="0047687D">
        <w:rPr>
          <w:rFonts w:ascii="仿宋_GB2312" w:eastAsia="仿宋_GB2312" w:hAnsi="Times New Roman" w:cs="Times New Roman" w:hint="eastAsia"/>
          <w:color w:val="000000" w:themeColor="text1"/>
          <w:sz w:val="32"/>
          <w:szCs w:val="32"/>
        </w:rPr>
        <w:t>；公务用车运行维护费与201</w:t>
      </w:r>
      <w:r w:rsidR="008E4999" w:rsidRPr="0047687D">
        <w:rPr>
          <w:rFonts w:ascii="仿宋_GB2312" w:eastAsia="仿宋_GB2312" w:hAnsi="Times New Roman" w:cs="Times New Roman"/>
          <w:color w:val="000000" w:themeColor="text1"/>
          <w:sz w:val="32"/>
          <w:szCs w:val="32"/>
        </w:rPr>
        <w:t>9</w:t>
      </w:r>
      <w:r w:rsidR="008E4999" w:rsidRPr="0047687D">
        <w:rPr>
          <w:rFonts w:ascii="仿宋_GB2312" w:eastAsia="仿宋_GB2312" w:hAnsi="Times New Roman" w:cs="Times New Roman" w:hint="eastAsia"/>
          <w:color w:val="000000" w:themeColor="text1"/>
          <w:sz w:val="32"/>
          <w:szCs w:val="32"/>
        </w:rPr>
        <w:t>年持平，无增减变化；公务接待费</w:t>
      </w:r>
      <w:r w:rsidR="002C42FA" w:rsidRPr="0047687D">
        <w:rPr>
          <w:rFonts w:ascii="仿宋_GB2312" w:eastAsia="仿宋_GB2312" w:hAnsi="Times New Roman" w:cs="Times New Roman" w:hint="eastAsia"/>
          <w:color w:val="000000" w:themeColor="text1"/>
          <w:sz w:val="32"/>
          <w:szCs w:val="32"/>
        </w:rPr>
        <w:t>与201</w:t>
      </w:r>
      <w:r w:rsidR="002C42FA" w:rsidRPr="0047687D">
        <w:rPr>
          <w:rFonts w:ascii="仿宋_GB2312" w:eastAsia="仿宋_GB2312" w:hAnsi="Times New Roman" w:cs="Times New Roman"/>
          <w:color w:val="000000" w:themeColor="text1"/>
          <w:sz w:val="32"/>
          <w:szCs w:val="32"/>
        </w:rPr>
        <w:t>9</w:t>
      </w:r>
      <w:r w:rsidR="002C42FA" w:rsidRPr="0047687D">
        <w:rPr>
          <w:rFonts w:ascii="仿宋_GB2312" w:eastAsia="仿宋_GB2312" w:hAnsi="Times New Roman" w:cs="Times New Roman" w:hint="eastAsia"/>
          <w:color w:val="000000" w:themeColor="text1"/>
          <w:sz w:val="32"/>
          <w:szCs w:val="32"/>
        </w:rPr>
        <w:t>年持平，无增减变化。</w:t>
      </w:r>
    </w:p>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w:t>
      </w:r>
      <w:r w:rsidR="00014281" w:rsidRPr="00075D5F">
        <w:rPr>
          <w:rFonts w:ascii="黑体" w:eastAsia="黑体" w:hAnsi="黑体" w:cs="Times New Roman" w:hint="eastAsia"/>
          <w:sz w:val="32"/>
          <w:szCs w:val="32"/>
        </w:rPr>
        <w:t>预算</w:t>
      </w:r>
      <w:r w:rsidRPr="00075D5F">
        <w:rPr>
          <w:rFonts w:ascii="黑体" w:eastAsia="黑体" w:hAnsi="黑体" w:cs="Times New Roman" w:hint="eastAsia"/>
          <w:sz w:val="32"/>
          <w:szCs w:val="32"/>
        </w:rPr>
        <w:t>绩效信息</w:t>
      </w:r>
    </w:p>
    <w:p w:rsidR="00925753" w:rsidRPr="00952E5C"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2C4F5B" w:rsidRDefault="002C4F5B" w:rsidP="0063225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2C42FA" w:rsidRDefault="002C42FA" w:rsidP="002C42FA">
      <w:pPr>
        <w:ind w:firstLineChars="200" w:firstLine="640"/>
        <w:rPr>
          <w:rFonts w:ascii="仿宋_GB2312" w:eastAsia="仿宋_GB2312" w:hAnsi="Times New Roman" w:cs="Times New Roman"/>
          <w:sz w:val="32"/>
          <w:szCs w:val="32"/>
        </w:rPr>
      </w:pPr>
      <w:r w:rsidRPr="002C42FA">
        <w:rPr>
          <w:rFonts w:ascii="仿宋_GB2312" w:eastAsia="仿宋_GB2312" w:hAnsi="Times New Roman" w:cs="Times New Roman" w:hint="eastAsia"/>
          <w:sz w:val="32"/>
          <w:szCs w:val="32"/>
        </w:rPr>
        <w:t>依据市委、市政府的决策部署和全市经济发展需要，坚持在优化审批流 程、拓展服务模式、提升窗口服务质量、强化依法行政等方面下功夫，全力 打造高标准、高品质、高效能的政务服务平台，努力打造廉洁高效的亲商氛围，为我市经济发展提供强大推力，不断提升企业和群众的获得感。2019 年 共承接农业类、建设工程类、企业设立类等 163 个审批事项，共办理各类行政许可事项 15554 件，按时办结率 100%；累计完成各类交易业务 490 宗，交 易总额 35.2 亿元，增效节资 3605.6 万元。</w:t>
      </w:r>
    </w:p>
    <w:p w:rsidR="002C4F5B" w:rsidRDefault="002C4F5B" w:rsidP="002C42F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2C42FA" w:rsidRDefault="00072071" w:rsidP="002C42FA">
      <w:pPr>
        <w:ind w:firstLineChars="200" w:firstLine="643"/>
        <w:rPr>
          <w:rFonts w:ascii="仿宋_GB2312" w:eastAsia="仿宋_GB2312" w:hAnsi="Times New Roman" w:cs="Times New Roman"/>
          <w:sz w:val="32"/>
          <w:szCs w:val="32"/>
        </w:rPr>
      </w:pPr>
      <w:r w:rsidRPr="002C42FA">
        <w:rPr>
          <w:rFonts w:ascii="仿宋_GB2312" w:eastAsia="仿宋_GB2312" w:hAnsi="Times New Roman" w:cs="Times New Roman" w:hint="eastAsia"/>
          <w:b/>
          <w:color w:val="000000" w:themeColor="text1"/>
          <w:sz w:val="32"/>
          <w:szCs w:val="32"/>
        </w:rPr>
        <w:lastRenderedPageBreak/>
        <w:t>1、</w:t>
      </w:r>
      <w:r w:rsidR="002C42FA" w:rsidRPr="002C42FA">
        <w:rPr>
          <w:rFonts w:ascii="仿宋_GB2312" w:eastAsia="仿宋_GB2312" w:hAnsi="Times New Roman" w:cs="Times New Roman" w:hint="eastAsia"/>
          <w:sz w:val="32"/>
          <w:szCs w:val="32"/>
        </w:rPr>
        <w:t>推进行政审批事项集中办理 绩效目标：综合协调市级各部门审批服务事项、便民服务事项和有关公 共资源交易事项集中办理工作。 绩效指标：下设公共资源交易、便民服务、行政审批三个大厅，已进驻 单位 21 个，工作人员 312 名，设 113 个服务窗口，330 余项审批及服务事项 纳入中心集中办理，全年共办理各类政务服务事项 82 万余件。</w:t>
      </w:r>
    </w:p>
    <w:p w:rsidR="002C42FA" w:rsidRDefault="002C42FA" w:rsidP="002C42FA">
      <w:pPr>
        <w:ind w:firstLineChars="200" w:firstLine="643"/>
        <w:rPr>
          <w:rFonts w:ascii="仿宋_GB2312" w:eastAsia="仿宋_GB2312" w:hAnsi="Times New Roman" w:cs="Times New Roman"/>
          <w:sz w:val="32"/>
          <w:szCs w:val="32"/>
        </w:rPr>
      </w:pPr>
      <w:r w:rsidRPr="002C42FA">
        <w:rPr>
          <w:rFonts w:ascii="仿宋_GB2312" w:eastAsia="仿宋_GB2312" w:hAnsi="Times New Roman" w:cs="Times New Roman" w:hint="eastAsia"/>
          <w:b/>
          <w:color w:val="000000" w:themeColor="text1"/>
          <w:sz w:val="32"/>
          <w:szCs w:val="32"/>
        </w:rPr>
        <w:t xml:space="preserve"> 2、</w:t>
      </w:r>
      <w:r w:rsidRPr="002C42FA">
        <w:rPr>
          <w:rFonts w:ascii="仿宋_GB2312" w:eastAsia="仿宋_GB2312" w:hAnsi="Times New Roman" w:cs="Times New Roman" w:hint="eastAsia"/>
          <w:sz w:val="32"/>
          <w:szCs w:val="32"/>
        </w:rPr>
        <w:t>规范行政审批服务行为 绩效目标：会同有关部门拟定审批服务、便民服务和公共资源交易的规 章制度、管理办法、工作规则和工作流程并监督实施。 绩效指标：制定了《交易管理守则》、《中心廉洁自律制度》等 15 项内部 管理制度，出台了《窗口工作人员服务规范》、《服务大厅巡查制度》、《行政审批局投诉管理制度》等工作规则，为审批服务、便民服务和公共资源交易 等各项业务开展和人员规范服务提供了遵循。</w:t>
      </w:r>
    </w:p>
    <w:p w:rsidR="002C42FA" w:rsidRDefault="002C42FA" w:rsidP="00372A64">
      <w:pPr>
        <w:ind w:firstLineChars="200" w:firstLine="643"/>
        <w:rPr>
          <w:rFonts w:ascii="仿宋_GB2312" w:eastAsia="仿宋_GB2312" w:hAnsi="Times New Roman" w:cs="Times New Roman"/>
          <w:sz w:val="32"/>
          <w:szCs w:val="32"/>
        </w:rPr>
      </w:pPr>
      <w:r w:rsidRPr="002C42FA">
        <w:rPr>
          <w:rFonts w:ascii="仿宋_GB2312" w:eastAsia="仿宋_GB2312" w:hAnsi="Times New Roman" w:cs="Times New Roman" w:hint="eastAsia"/>
          <w:b/>
          <w:color w:val="000000" w:themeColor="text1"/>
          <w:sz w:val="32"/>
          <w:szCs w:val="32"/>
        </w:rPr>
        <w:t>3、</w:t>
      </w:r>
      <w:r w:rsidRPr="002C42FA">
        <w:rPr>
          <w:rFonts w:ascii="仿宋_GB2312" w:eastAsia="仿宋_GB2312" w:hAnsi="Times New Roman" w:cs="Times New Roman" w:hint="eastAsia"/>
          <w:sz w:val="32"/>
          <w:szCs w:val="32"/>
        </w:rPr>
        <w:t>加快政务服务网络建设 绩效目标：承担审批中心、公共资源交易中心、便民服务中心的信息网 络系统建设、业务培训和运行管理工作。 绩效指标：一是组织全市涉项部门在“河北省政务服务网”上共认领 600 余项政务服务事项，目前已经全部开通在线办理，全市政务服务事项网上可 办率达到 100%。二是在河北政务服务网开设乡级、村级政务服务页面，全市 14 个乡镇（区、办）已完</w:t>
      </w:r>
      <w:r w:rsidRPr="002C42FA">
        <w:rPr>
          <w:rFonts w:ascii="仿宋_GB2312" w:eastAsia="仿宋_GB2312" w:hAnsi="Times New Roman" w:cs="Times New Roman" w:hint="eastAsia"/>
          <w:sz w:val="32"/>
          <w:szCs w:val="32"/>
        </w:rPr>
        <w:lastRenderedPageBreak/>
        <w:t>成事项录入，共录入政务服务事项 254 项，其中 90% 已开通网上办理；381 个村街（社区）共录入政务服务事项 2600 多项，开通 网上办理比例 100%。</w:t>
      </w:r>
    </w:p>
    <w:p w:rsidR="002C42FA" w:rsidRDefault="002C42FA" w:rsidP="00E4550C">
      <w:pPr>
        <w:ind w:firstLineChars="200" w:firstLine="643"/>
        <w:rPr>
          <w:rFonts w:ascii="仿宋_GB2312" w:eastAsia="仿宋_GB2312" w:hAnsi="Times New Roman" w:cs="Times New Roman"/>
          <w:sz w:val="32"/>
          <w:szCs w:val="32"/>
        </w:rPr>
      </w:pPr>
      <w:r w:rsidRPr="00E4550C">
        <w:rPr>
          <w:rFonts w:ascii="仿宋_GB2312" w:eastAsia="仿宋_GB2312" w:hAnsi="Times New Roman" w:cs="Times New Roman" w:hint="eastAsia"/>
          <w:b/>
          <w:color w:val="000000" w:themeColor="text1"/>
          <w:sz w:val="32"/>
          <w:szCs w:val="32"/>
        </w:rPr>
        <w:t xml:space="preserve"> 4、</w:t>
      </w:r>
      <w:r w:rsidRPr="002C42FA">
        <w:rPr>
          <w:rFonts w:ascii="仿宋_GB2312" w:eastAsia="仿宋_GB2312" w:hAnsi="Times New Roman" w:cs="Times New Roman" w:hint="eastAsia"/>
          <w:sz w:val="32"/>
          <w:szCs w:val="32"/>
        </w:rPr>
        <w:t>强化进驻人员管理 绩效目标：对中心各窗口、进驻部门及其工作人员进行日常管理和考核。 绩效指标：通过监控视频抽查、大厅巡查、办事人员反馈等多种渠道， 持续加强对本局和 21 个进驻部门所有办事窗口的督导检查，及时发现问题， 及时提醒纠正。全年共开展巡查、抽查大厅 1300 余次、纠正违规行为 1000 余次，解决纠纷事件 31 人次。有效克服了“门难进、脸难看、话难听、事难 办”等不良习气和“吃、拿、卡、要、报”等现象的发生。</w:t>
      </w:r>
    </w:p>
    <w:p w:rsidR="002C42FA" w:rsidRDefault="002C42FA" w:rsidP="00E4550C">
      <w:pPr>
        <w:ind w:firstLineChars="200" w:firstLine="643"/>
        <w:rPr>
          <w:rFonts w:ascii="仿宋_GB2312" w:eastAsia="仿宋_GB2312" w:hAnsi="Times New Roman" w:cs="Times New Roman"/>
          <w:sz w:val="32"/>
          <w:szCs w:val="32"/>
        </w:rPr>
      </w:pPr>
      <w:r w:rsidRPr="00E4550C">
        <w:rPr>
          <w:rFonts w:ascii="仿宋_GB2312" w:eastAsia="仿宋_GB2312" w:hAnsi="Times New Roman" w:cs="Times New Roman" w:hint="eastAsia"/>
          <w:b/>
          <w:color w:val="000000" w:themeColor="text1"/>
          <w:sz w:val="32"/>
          <w:szCs w:val="32"/>
        </w:rPr>
        <w:t>5、</w:t>
      </w:r>
      <w:r w:rsidRPr="002C42FA">
        <w:rPr>
          <w:rFonts w:ascii="仿宋_GB2312" w:eastAsia="仿宋_GB2312" w:hAnsi="Times New Roman" w:cs="Times New Roman" w:hint="eastAsia"/>
          <w:sz w:val="32"/>
          <w:szCs w:val="32"/>
        </w:rPr>
        <w:t xml:space="preserve">受理中心相关投诉 绩效目标：受理中心相关投诉，并按有关规定进行处理。 绩效指标：全年共受理群众投诉 67 件，回复市长热线 35 件，在处理群 众投诉的过程中，认真总结经验，吸取教训，有效提高了服务水平。 </w:t>
      </w:r>
    </w:p>
    <w:p w:rsidR="002C42FA" w:rsidRDefault="002C42FA" w:rsidP="00E4550C">
      <w:pPr>
        <w:ind w:firstLineChars="200" w:firstLine="643"/>
        <w:rPr>
          <w:rFonts w:ascii="仿宋_GB2312" w:eastAsia="仿宋_GB2312" w:hAnsi="Times New Roman" w:cs="Times New Roman"/>
          <w:sz w:val="32"/>
          <w:szCs w:val="32"/>
        </w:rPr>
      </w:pPr>
      <w:r w:rsidRPr="00E4550C">
        <w:rPr>
          <w:rFonts w:ascii="仿宋_GB2312" w:eastAsia="仿宋_GB2312" w:hAnsi="Times New Roman" w:cs="Times New Roman" w:hint="eastAsia"/>
          <w:b/>
          <w:color w:val="000000" w:themeColor="text1"/>
          <w:sz w:val="32"/>
          <w:szCs w:val="32"/>
        </w:rPr>
        <w:t>6、</w:t>
      </w:r>
      <w:r w:rsidRPr="002C42FA">
        <w:rPr>
          <w:rFonts w:ascii="仿宋_GB2312" w:eastAsia="仿宋_GB2312" w:hAnsi="Times New Roman" w:cs="Times New Roman" w:hint="eastAsia"/>
          <w:sz w:val="32"/>
          <w:szCs w:val="32"/>
        </w:rPr>
        <w:t>加强进驻部门监督管理 绩效目标：会同纪检监察部门对中心各窗口、进驻机构的审批服务、便 民服务、公共资源交易服务行为进行监督检查。 绩效指标：会同纪检监察部门对中心各窗口开展监督检查 5 次，配合市委第二巡察组对中心各窗口开展监督检查 5 次，有效规范了审批服务、便民</w:t>
      </w:r>
      <w:r w:rsidRPr="002C42FA">
        <w:rPr>
          <w:rFonts w:ascii="仿宋_GB2312" w:eastAsia="仿宋_GB2312" w:hAnsi="Times New Roman" w:cs="Times New Roman" w:hint="eastAsia"/>
          <w:sz w:val="32"/>
          <w:szCs w:val="32"/>
        </w:rPr>
        <w:lastRenderedPageBreak/>
        <w:t>服务、公共资源交易等各项服务行为。</w:t>
      </w:r>
    </w:p>
    <w:p w:rsidR="002C42FA" w:rsidRDefault="002C42FA" w:rsidP="00E4550C">
      <w:pPr>
        <w:ind w:firstLineChars="200" w:firstLine="643"/>
        <w:rPr>
          <w:rFonts w:ascii="仿宋_GB2312" w:eastAsia="仿宋_GB2312" w:hAnsi="Times New Roman" w:cs="Times New Roman"/>
          <w:sz w:val="32"/>
          <w:szCs w:val="32"/>
        </w:rPr>
      </w:pPr>
      <w:r w:rsidRPr="00E4550C">
        <w:rPr>
          <w:rFonts w:ascii="仿宋_GB2312" w:eastAsia="仿宋_GB2312" w:hAnsi="Times New Roman" w:cs="Times New Roman" w:hint="eastAsia"/>
          <w:b/>
          <w:color w:val="000000" w:themeColor="text1"/>
          <w:sz w:val="32"/>
          <w:szCs w:val="32"/>
        </w:rPr>
        <w:t>7、</w:t>
      </w:r>
      <w:r w:rsidRPr="002C42FA">
        <w:rPr>
          <w:rFonts w:ascii="仿宋_GB2312" w:eastAsia="仿宋_GB2312" w:hAnsi="Times New Roman" w:cs="Times New Roman" w:hint="eastAsia"/>
          <w:sz w:val="32"/>
          <w:szCs w:val="32"/>
        </w:rPr>
        <w:t xml:space="preserve">指导乡镇便民服务中心建设绩效目标：协调、指导乡镇便民服务中心规范化建设。 绩效指标：目前我市 14 个乡镇（区、办）381 个村便民服务中心（站） 点全部建成，为各乡镇、村街便民服务中心（站）点安装了办公视频监控， 有效推进了乡镇服务中心规范化。 </w:t>
      </w:r>
    </w:p>
    <w:p w:rsidR="002C4F5B" w:rsidRDefault="002C4F5B" w:rsidP="002C42F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072071">
        <w:rPr>
          <w:rFonts w:ascii="仿宋_GB2312" w:eastAsia="仿宋_GB2312" w:hAnsi="Times New Roman" w:cs="Times New Roman" w:hint="eastAsia"/>
          <w:sz w:val="32"/>
          <w:szCs w:val="32"/>
        </w:rPr>
        <w:t>工作保障</w:t>
      </w:r>
      <w:r w:rsidR="00072071">
        <w:rPr>
          <w:rFonts w:ascii="仿宋_GB2312" w:eastAsia="仿宋_GB2312" w:hAnsi="Times New Roman" w:cs="Times New Roman"/>
          <w:sz w:val="32"/>
          <w:szCs w:val="32"/>
        </w:rPr>
        <w:t>措施</w:t>
      </w:r>
    </w:p>
    <w:p w:rsidR="00E4550C" w:rsidRDefault="00072071" w:rsidP="002C42FA">
      <w:pPr>
        <w:ind w:firstLineChars="200" w:firstLine="643"/>
        <w:rPr>
          <w:rFonts w:ascii="仿宋_GB2312" w:eastAsia="仿宋_GB2312" w:hAnsi="Times New Roman" w:cs="Times New Roman"/>
          <w:sz w:val="32"/>
          <w:szCs w:val="32"/>
        </w:rPr>
      </w:pPr>
      <w:r w:rsidRPr="00E4550C">
        <w:rPr>
          <w:rFonts w:ascii="仿宋_GB2312" w:eastAsia="仿宋_GB2312" w:hAnsi="Times New Roman" w:cs="Times New Roman" w:hint="eastAsia"/>
          <w:b/>
          <w:color w:val="000000" w:themeColor="text1"/>
          <w:sz w:val="32"/>
          <w:szCs w:val="32"/>
        </w:rPr>
        <w:t>1、</w:t>
      </w:r>
      <w:r w:rsidR="002C42FA" w:rsidRPr="002C42FA">
        <w:rPr>
          <w:rFonts w:ascii="仿宋_GB2312" w:eastAsia="仿宋_GB2312" w:hAnsi="Times New Roman" w:cs="Times New Roman" w:hint="eastAsia"/>
          <w:sz w:val="32"/>
          <w:szCs w:val="32"/>
        </w:rPr>
        <w:t>加强制度建设。不断完善中心管理制度和以人为本的科学管理机 制，强化考核激励手段，不断提高工作人员思想素质和业务水平。继续推进“两集中、两到位”，做到部门行政审批事项一个窗口受理、一个科室主办、一个 领导分管。进一步完善联审联办制度，简化联审程序，缩减办结时限。</w:t>
      </w:r>
    </w:p>
    <w:p w:rsidR="00E4550C" w:rsidRDefault="00E4550C" w:rsidP="00E4550C">
      <w:pPr>
        <w:ind w:firstLineChars="200" w:firstLine="643"/>
        <w:rPr>
          <w:rFonts w:ascii="仿宋_GB2312" w:eastAsia="仿宋_GB2312" w:hAnsi="Times New Roman" w:cs="Times New Roman"/>
          <w:sz w:val="32"/>
          <w:szCs w:val="32"/>
        </w:rPr>
      </w:pPr>
      <w:r w:rsidRPr="00E4550C">
        <w:rPr>
          <w:rFonts w:ascii="仿宋_GB2312" w:eastAsia="仿宋_GB2312" w:hAnsi="Times New Roman" w:cs="Times New Roman" w:hint="eastAsia"/>
          <w:b/>
          <w:color w:val="000000" w:themeColor="text1"/>
          <w:sz w:val="32"/>
          <w:szCs w:val="32"/>
        </w:rPr>
        <w:t>2、</w:t>
      </w:r>
      <w:r w:rsidR="002C42FA" w:rsidRPr="002C42FA">
        <w:rPr>
          <w:rFonts w:ascii="仿宋_GB2312" w:eastAsia="仿宋_GB2312" w:hAnsi="Times New Roman" w:cs="Times New Roman" w:hint="eastAsia"/>
          <w:sz w:val="32"/>
          <w:szCs w:val="32"/>
        </w:rPr>
        <w:t>推进标准化建设。推进审批窗口服务标准化建设，重点解决审批流程中的办结时限和责任落实问题，实现窗口审批服务工作的标准化、规范化。继续清理精简行政许可事项、非行政许可事项和企业登记前置事项，对交叉审批事项设定程序，限定时间，责任到人。</w:t>
      </w:r>
    </w:p>
    <w:p w:rsidR="002C42FA" w:rsidRPr="002C42FA" w:rsidRDefault="00E4550C" w:rsidP="00E4550C">
      <w:pPr>
        <w:ind w:firstLineChars="200" w:firstLine="643"/>
        <w:rPr>
          <w:rFonts w:ascii="仿宋_GB2312" w:eastAsia="仿宋_GB2312" w:hAnsi="Times New Roman" w:cs="Times New Roman"/>
          <w:sz w:val="32"/>
          <w:szCs w:val="32"/>
        </w:rPr>
      </w:pPr>
      <w:r w:rsidRPr="00E4550C">
        <w:rPr>
          <w:rFonts w:ascii="仿宋_GB2312" w:eastAsia="仿宋_GB2312" w:hAnsi="Times New Roman" w:cs="Times New Roman" w:hint="eastAsia"/>
          <w:b/>
          <w:color w:val="000000" w:themeColor="text1"/>
          <w:sz w:val="32"/>
          <w:szCs w:val="32"/>
        </w:rPr>
        <w:t>3、</w:t>
      </w:r>
      <w:r w:rsidR="002C42FA" w:rsidRPr="002C42FA">
        <w:rPr>
          <w:rFonts w:ascii="仿宋_GB2312" w:eastAsia="仿宋_GB2312" w:hAnsi="Times New Roman" w:cs="Times New Roman" w:hint="eastAsia"/>
          <w:sz w:val="32"/>
          <w:szCs w:val="32"/>
        </w:rPr>
        <w:t>创新服务方式。大力开展预约服务、延时服务、代理服务和节假日上门服务，使行政服务中心成为服务大局、服务发展、服务民生的主阵地。</w:t>
      </w:r>
    </w:p>
    <w:p w:rsidR="00072071" w:rsidRPr="002C4F5B" w:rsidRDefault="00E4550C" w:rsidP="00372A64">
      <w:pPr>
        <w:ind w:firstLineChars="200" w:firstLine="643"/>
        <w:rPr>
          <w:rFonts w:ascii="仿宋_GB2312" w:eastAsia="仿宋_GB2312" w:hAnsi="Times New Roman" w:cs="Times New Roman"/>
          <w:b/>
          <w:color w:val="FF0000"/>
          <w:sz w:val="32"/>
          <w:szCs w:val="32"/>
        </w:rPr>
      </w:pPr>
      <w:r w:rsidRPr="00E4550C">
        <w:rPr>
          <w:rFonts w:ascii="仿宋_GB2312" w:eastAsia="仿宋_GB2312" w:hAnsi="Times New Roman" w:cs="Times New Roman" w:hint="eastAsia"/>
          <w:b/>
          <w:color w:val="000000" w:themeColor="text1"/>
          <w:sz w:val="32"/>
          <w:szCs w:val="32"/>
        </w:rPr>
        <w:lastRenderedPageBreak/>
        <w:t>4、</w:t>
      </w:r>
      <w:r w:rsidR="002C42FA" w:rsidRPr="002C42FA">
        <w:rPr>
          <w:rFonts w:ascii="仿宋_GB2312" w:eastAsia="仿宋_GB2312" w:hAnsi="Times New Roman" w:cs="Times New Roman" w:hint="eastAsia"/>
          <w:sz w:val="32"/>
          <w:szCs w:val="32"/>
        </w:rPr>
        <w:t>加强监督管理。进一步加强电子监察建设，不断完善电子监察系统，加强对审批项目的事前、事中、事后全程监察。进一步规范交易行为，简化办事程序，理顺办理流程，促使工程建设项目招投标、政府采购等交易程序更加科学合理、公平高效。</w:t>
      </w:r>
    </w:p>
    <w:p w:rsidR="00925753" w:rsidRPr="00012D1C" w:rsidRDefault="002C4F5B" w:rsidP="00012D1C">
      <w:pPr>
        <w:autoSpaceDE w:val="0"/>
        <w:autoSpaceDN w:val="0"/>
        <w:adjustRightInd w:val="0"/>
        <w:ind w:firstLineChars="200" w:firstLine="643"/>
        <w:jc w:val="left"/>
        <w:rPr>
          <w:rFonts w:ascii="楷体_GB2312" w:eastAsia="楷体_GB2312" w:hAnsi="Times New Roman" w:cs="Times New Roman"/>
          <w:b/>
          <w:sz w:val="32"/>
          <w:szCs w:val="32"/>
        </w:rPr>
      </w:pPr>
      <w:r w:rsidRPr="00012D1C">
        <w:rPr>
          <w:rFonts w:ascii="楷体_GB2312" w:eastAsia="楷体_GB2312" w:hAnsi="Times New Roman" w:cs="Times New Roman" w:hint="eastAsia"/>
          <w:b/>
          <w:sz w:val="32"/>
          <w:szCs w:val="32"/>
        </w:rPr>
        <w:t>第二部分 预算项目</w:t>
      </w:r>
      <w:r w:rsidRPr="00012D1C">
        <w:rPr>
          <w:rFonts w:ascii="楷体_GB2312" w:eastAsia="楷体_GB2312" w:hAnsi="Times New Roman" w:cs="Times New Roman"/>
          <w:b/>
          <w:sz w:val="32"/>
          <w:szCs w:val="32"/>
        </w:rPr>
        <w:t>绩效目标</w:t>
      </w:r>
    </w:p>
    <w:bookmarkEnd w:id="1"/>
    <w:p w:rsidR="00072071" w:rsidRPr="00E00DDE" w:rsidRDefault="00072071" w:rsidP="00E00DDE">
      <w:pPr>
        <w:ind w:firstLineChars="200" w:firstLine="560"/>
        <w:jc w:val="left"/>
        <w:outlineLvl w:val="1"/>
        <w:rPr>
          <w:rFonts w:asciiTheme="minorEastAsia" w:hAnsiTheme="minorEastAsia"/>
          <w:sz w:val="28"/>
        </w:rPr>
      </w:pPr>
      <w:r w:rsidRPr="00E00DDE">
        <w:rPr>
          <w:rFonts w:asciiTheme="minorEastAsia" w:hAnsiTheme="minorEastAsia" w:hint="eastAsia"/>
          <w:sz w:val="28"/>
        </w:rPr>
        <w:t>1、</w:t>
      </w:r>
      <w:r w:rsidR="00E4550C" w:rsidRPr="00E00DDE">
        <w:rPr>
          <w:rFonts w:asciiTheme="minorEastAsia" w:hAnsiTheme="minorEastAsia" w:hint="eastAsia"/>
          <w:sz w:val="28"/>
        </w:rPr>
        <w:t>“固定资产投资项目节能评审和社会稳定风险评估”工作经费</w:t>
      </w:r>
      <w:r w:rsidRPr="00E00DDE">
        <w:rPr>
          <w:rFonts w:asciiTheme="minorEastAsia" w:hAnsiTheme="minorEastAsia" w:hint="eastAsia"/>
          <w:sz w:val="28"/>
        </w:rPr>
        <w:t>绩效目标表</w:t>
      </w:r>
      <w:r w:rsidR="003859E6" w:rsidRPr="00E00DDE">
        <w:rPr>
          <w:rFonts w:asciiTheme="minorEastAsia" w:hAnsiTheme="minorEastAsia" w:hint="eastAsia"/>
          <w:sz w:val="28"/>
        </w:rPr>
        <w:fldChar w:fldCharType="begin"/>
      </w:r>
      <w:r w:rsidRPr="00E00DDE">
        <w:rPr>
          <w:rFonts w:asciiTheme="minorEastAsia" w:hAnsiTheme="minorEastAsia" w:hint="eastAsia"/>
          <w:sz w:val="28"/>
        </w:rPr>
        <w:instrText xml:space="preserve"> TC </w:instrText>
      </w:r>
      <w:bookmarkStart w:id="2" w:name="_Toc30521345"/>
      <w:r w:rsidRPr="00E00DDE">
        <w:rPr>
          <w:rFonts w:asciiTheme="minorEastAsia" w:hAnsiTheme="minorEastAsia" w:hint="eastAsia"/>
          <w:sz w:val="28"/>
        </w:rPr>
        <w:instrText>1、常委会经费绩效目标表</w:instrText>
      </w:r>
      <w:bookmarkEnd w:id="2"/>
      <w:r w:rsidRPr="00E00DDE">
        <w:rPr>
          <w:rFonts w:asciiTheme="minorEastAsia" w:hAnsiTheme="minorEastAsia" w:hint="eastAsia"/>
          <w:sz w:val="28"/>
        </w:rPr>
        <w:instrText xml:space="preserve"> \f C \l 1 </w:instrText>
      </w:r>
      <w:r w:rsidR="003859E6" w:rsidRPr="00E00DDE">
        <w:rPr>
          <w:rFonts w:asciiTheme="minorEastAsia" w:hAnsiTheme="minorEastAsia" w:hint="eastAsia"/>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072071" w:rsidRPr="00E00DDE" w:rsidTr="00F26BF7">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072071" w:rsidRPr="00E00DDE" w:rsidRDefault="00072071">
            <w:pPr>
              <w:spacing w:line="300" w:lineRule="exact"/>
              <w:jc w:val="center"/>
              <w:rPr>
                <w:rFonts w:asciiTheme="minorEastAsia" w:hAnsiTheme="minorEastAsia"/>
              </w:rPr>
            </w:pPr>
            <w:r w:rsidRPr="00E00DDE">
              <w:rPr>
                <w:rFonts w:asciiTheme="minorEastAsia" w:hAnsiTheme="minorEastAsia" w:hint="eastAsia"/>
              </w:rPr>
              <w:t>绩效目标</w:t>
            </w:r>
          </w:p>
        </w:tc>
        <w:tc>
          <w:tcPr>
            <w:tcW w:w="11125" w:type="dxa"/>
            <w:tcBorders>
              <w:top w:val="single" w:sz="6" w:space="0" w:color="000000"/>
              <w:left w:val="single" w:sz="6" w:space="0" w:color="000000"/>
              <w:bottom w:val="nil"/>
              <w:right w:val="single" w:sz="6" w:space="0" w:color="000000"/>
            </w:tcBorders>
            <w:vAlign w:val="center"/>
          </w:tcPr>
          <w:p w:rsidR="00072071" w:rsidRPr="00E00DDE" w:rsidRDefault="00E4550C" w:rsidP="00F26BF7">
            <w:pPr>
              <w:spacing w:line="300" w:lineRule="exact"/>
              <w:jc w:val="left"/>
              <w:rPr>
                <w:rFonts w:asciiTheme="minorEastAsia" w:hAnsiTheme="minorEastAsia"/>
              </w:rPr>
            </w:pPr>
            <w:r w:rsidRPr="00E00DDE">
              <w:rPr>
                <w:rFonts w:asciiTheme="minorEastAsia" w:hAnsiTheme="minorEastAsia" w:hint="eastAsia"/>
              </w:rPr>
              <w:t>促进我市企业固定资产投资项目的科学决策、民主决策和依法决策，以及督促企业固定资产投资项目满足节约能源的要求，2020 年评估件数 26 件，根据实际发生时间、业务量按季度拨付。</w:t>
            </w:r>
          </w:p>
        </w:tc>
      </w:tr>
    </w:tbl>
    <w:p w:rsidR="00072071" w:rsidRPr="00E00DDE" w:rsidRDefault="00072071" w:rsidP="00072071">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072071" w:rsidRPr="00E00DDE" w:rsidTr="00F26BF7">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072071" w:rsidRPr="00E00DDE" w:rsidRDefault="00072071">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072071" w:rsidRPr="00E00DDE" w:rsidRDefault="00072071">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072071" w:rsidRPr="00E00DDE" w:rsidRDefault="00072071">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072071" w:rsidRPr="00E00DDE" w:rsidRDefault="00072071">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072071" w:rsidRPr="00E00DDE" w:rsidRDefault="00072071">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072071" w:rsidRPr="00E00DDE" w:rsidRDefault="00072071">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E4550C" w:rsidRPr="00E00DDE" w:rsidTr="00F26BF7">
        <w:trPr>
          <w:cantSplit/>
          <w:trHeight w:val="369"/>
          <w:jc w:val="center"/>
        </w:trPr>
        <w:tc>
          <w:tcPr>
            <w:tcW w:w="1699" w:type="dxa"/>
            <w:vMerge w:val="restart"/>
            <w:tcBorders>
              <w:top w:val="single" w:sz="6" w:space="0" w:color="000000"/>
              <w:left w:val="single" w:sz="6" w:space="0" w:color="000000"/>
              <w:right w:val="single" w:sz="6" w:space="0" w:color="000000"/>
            </w:tcBorders>
            <w:vAlign w:val="center"/>
            <w:hideMark/>
          </w:tcPr>
          <w:p w:rsidR="00E4550C" w:rsidRPr="00E00DDE" w:rsidRDefault="00E4550C">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E4550C">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E4550C">
            <w:pPr>
              <w:spacing w:line="300" w:lineRule="exact"/>
              <w:jc w:val="left"/>
              <w:rPr>
                <w:rFonts w:asciiTheme="minorEastAsia" w:hAnsiTheme="minorEastAsia"/>
              </w:rPr>
            </w:pPr>
            <w:r w:rsidRPr="00E00DDE">
              <w:rPr>
                <w:rFonts w:asciiTheme="minorEastAsia" w:hAnsiTheme="minorEastAsia" w:hint="eastAsia"/>
              </w:rPr>
              <w:t>评估报告的数量</w:t>
            </w:r>
          </w:p>
        </w:tc>
        <w:tc>
          <w:tcPr>
            <w:tcW w:w="3184"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E4550C">
            <w:pPr>
              <w:spacing w:line="300" w:lineRule="exact"/>
              <w:jc w:val="left"/>
              <w:rPr>
                <w:rFonts w:asciiTheme="minorEastAsia" w:hAnsiTheme="minorEastAsia"/>
              </w:rPr>
            </w:pPr>
            <w:r w:rsidRPr="00E00DDE">
              <w:rPr>
                <w:rFonts w:asciiTheme="minorEastAsia" w:hAnsiTheme="minorEastAsia" w:hint="eastAsia"/>
              </w:rPr>
              <w:t>评估机构出具评估报告的数 量</w:t>
            </w:r>
          </w:p>
        </w:tc>
        <w:tc>
          <w:tcPr>
            <w:tcW w:w="1275"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E4550C">
            <w:pPr>
              <w:spacing w:line="300" w:lineRule="exact"/>
              <w:jc w:val="left"/>
              <w:rPr>
                <w:rFonts w:asciiTheme="minorEastAsia" w:hAnsiTheme="minorEastAsia"/>
              </w:rPr>
            </w:pPr>
            <w:r w:rsidRPr="00E00DDE">
              <w:rPr>
                <w:rFonts w:asciiTheme="minorEastAsia" w:hAnsiTheme="minorEastAsia" w:hint="eastAsia"/>
              </w:rPr>
              <w:t>26 件</w:t>
            </w:r>
          </w:p>
        </w:tc>
        <w:tc>
          <w:tcPr>
            <w:tcW w:w="1700"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E4550C">
            <w:pPr>
              <w:spacing w:line="300" w:lineRule="exact"/>
              <w:jc w:val="left"/>
              <w:rPr>
                <w:rFonts w:asciiTheme="minorEastAsia" w:hAnsiTheme="minorEastAsia"/>
              </w:rPr>
            </w:pPr>
            <w:r w:rsidRPr="00E00DDE">
              <w:rPr>
                <w:rFonts w:asciiTheme="minorEastAsia" w:hAnsiTheme="minorEastAsia" w:hint="eastAsia"/>
              </w:rPr>
              <w:t>历史经验</w:t>
            </w:r>
          </w:p>
        </w:tc>
      </w:tr>
      <w:tr w:rsidR="00E4550C" w:rsidRPr="00E00DDE" w:rsidTr="00F26BF7">
        <w:trPr>
          <w:cantSplit/>
          <w:trHeight w:val="369"/>
          <w:jc w:val="center"/>
        </w:trPr>
        <w:tc>
          <w:tcPr>
            <w:tcW w:w="1699" w:type="dxa"/>
            <w:vMerge/>
            <w:tcBorders>
              <w:left w:val="single" w:sz="6" w:space="0" w:color="000000"/>
              <w:right w:val="single" w:sz="6" w:space="0" w:color="000000"/>
            </w:tcBorders>
            <w:vAlign w:val="center"/>
            <w:hideMark/>
          </w:tcPr>
          <w:p w:rsidR="00E4550C" w:rsidRPr="00E00DDE" w:rsidRDefault="00E4550C">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E4550C">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rsidP="00F26BF7">
            <w:pPr>
              <w:rPr>
                <w:rFonts w:asciiTheme="minorEastAsia" w:hAnsiTheme="minorEastAsia"/>
              </w:rPr>
            </w:pPr>
            <w:r w:rsidRPr="00E00DDE">
              <w:rPr>
                <w:rFonts w:asciiTheme="minorEastAsia" w:hAnsiTheme="minorEastAsia" w:hint="eastAsia"/>
              </w:rPr>
              <w:t xml:space="preserve">评估报告合格率 </w:t>
            </w:r>
          </w:p>
        </w:tc>
        <w:tc>
          <w:tcPr>
            <w:tcW w:w="3184"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pPr>
              <w:spacing w:line="300" w:lineRule="exact"/>
              <w:jc w:val="left"/>
              <w:rPr>
                <w:rFonts w:asciiTheme="minorEastAsia" w:hAnsiTheme="minorEastAsia"/>
              </w:rPr>
            </w:pPr>
            <w:r w:rsidRPr="00E00DDE">
              <w:rPr>
                <w:rFonts w:asciiTheme="minorEastAsia" w:hAnsiTheme="minorEastAsia" w:hint="eastAsia"/>
              </w:rPr>
              <w:t>评估报告合格数量占总评估 报告的比率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pPr>
              <w:spacing w:line="300" w:lineRule="exact"/>
              <w:jc w:val="left"/>
              <w:rPr>
                <w:rFonts w:asciiTheme="minorEastAsia" w:hAnsiTheme="minorEastAsia"/>
              </w:rPr>
            </w:pPr>
            <w:r w:rsidRPr="00E00DDE">
              <w:rPr>
                <w:rFonts w:asciiTheme="minorEastAsia" w:hAnsiTheme="minorEastAsia" w:hint="eastAsia"/>
              </w:rPr>
              <w:t>计划标准</w:t>
            </w:r>
          </w:p>
        </w:tc>
      </w:tr>
      <w:tr w:rsidR="00E4550C" w:rsidRPr="00E00DDE" w:rsidTr="00F26BF7">
        <w:trPr>
          <w:cantSplit/>
          <w:trHeight w:val="369"/>
          <w:jc w:val="center"/>
        </w:trPr>
        <w:tc>
          <w:tcPr>
            <w:tcW w:w="1699" w:type="dxa"/>
            <w:vMerge/>
            <w:tcBorders>
              <w:left w:val="single" w:sz="6" w:space="0" w:color="000000"/>
              <w:bottom w:val="single" w:sz="6" w:space="0" w:color="000000"/>
              <w:right w:val="single" w:sz="6" w:space="0" w:color="000000"/>
            </w:tcBorders>
            <w:vAlign w:val="center"/>
          </w:tcPr>
          <w:p w:rsidR="00E4550C" w:rsidRPr="00E00DDE" w:rsidRDefault="00E4550C">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pPr>
              <w:spacing w:line="300" w:lineRule="exact"/>
              <w:jc w:val="left"/>
              <w:rPr>
                <w:rFonts w:asciiTheme="minorEastAsia" w:hAnsiTheme="minorEastAsia"/>
              </w:rPr>
            </w:pPr>
            <w:r w:rsidRPr="00E00DDE">
              <w:rPr>
                <w:rFonts w:asciiTheme="minorEastAsia" w:hAnsiTheme="minorEastAsia"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rsidP="00F26BF7">
            <w:pPr>
              <w:rPr>
                <w:rFonts w:asciiTheme="minorEastAsia" w:hAnsiTheme="minorEastAsia"/>
              </w:rPr>
            </w:pPr>
            <w:r w:rsidRPr="00E00DDE">
              <w:rPr>
                <w:rFonts w:asciiTheme="minorEastAsia" w:hAnsiTheme="minorEastAsia" w:hint="eastAsia"/>
              </w:rPr>
              <w:t xml:space="preserve">第三方评审 评估的时限出具 </w:t>
            </w:r>
          </w:p>
        </w:tc>
        <w:tc>
          <w:tcPr>
            <w:tcW w:w="3184"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rsidP="00F26BF7">
            <w:pPr>
              <w:rPr>
                <w:rFonts w:asciiTheme="minorEastAsia" w:hAnsiTheme="minorEastAsia"/>
              </w:rPr>
            </w:pPr>
            <w:r w:rsidRPr="00E00DDE">
              <w:rPr>
                <w:rFonts w:asciiTheme="minorEastAsia" w:hAnsiTheme="minorEastAsia" w:hint="eastAsia"/>
              </w:rPr>
              <w:t xml:space="preserve">要求第三方在规定时间内完 成所委托项目的评审评估 </w:t>
            </w:r>
          </w:p>
        </w:tc>
        <w:tc>
          <w:tcPr>
            <w:tcW w:w="1275"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pPr>
              <w:spacing w:line="300" w:lineRule="exact"/>
              <w:jc w:val="left"/>
              <w:rPr>
                <w:rFonts w:asciiTheme="minorEastAsia" w:hAnsiTheme="minorEastAsia"/>
              </w:rPr>
            </w:pPr>
            <w:r w:rsidRPr="00E00DDE">
              <w:rPr>
                <w:rFonts w:asciiTheme="minorEastAsia" w:hAnsiTheme="minorEastAsia" w:hint="eastAsia"/>
              </w:rPr>
              <w:t>≤10 天</w:t>
            </w:r>
          </w:p>
        </w:tc>
        <w:tc>
          <w:tcPr>
            <w:tcW w:w="1700" w:type="dxa"/>
            <w:tcBorders>
              <w:top w:val="single" w:sz="6" w:space="0" w:color="000000"/>
              <w:left w:val="single" w:sz="6" w:space="0" w:color="000000"/>
              <w:bottom w:val="single" w:sz="6" w:space="0" w:color="000000"/>
              <w:right w:val="single" w:sz="6" w:space="0" w:color="000000"/>
            </w:tcBorders>
            <w:vAlign w:val="center"/>
          </w:tcPr>
          <w:p w:rsidR="00E4550C" w:rsidRPr="00E00DDE" w:rsidRDefault="00F26BF7">
            <w:pPr>
              <w:spacing w:line="300" w:lineRule="exact"/>
              <w:jc w:val="left"/>
              <w:rPr>
                <w:rFonts w:asciiTheme="minorEastAsia" w:hAnsiTheme="minorEastAsia"/>
              </w:rPr>
            </w:pPr>
            <w:r w:rsidRPr="00E00DDE">
              <w:rPr>
                <w:rFonts w:asciiTheme="minorEastAsia" w:hAnsiTheme="minorEastAsia" w:hint="eastAsia"/>
              </w:rPr>
              <w:t>计划标准</w:t>
            </w:r>
          </w:p>
        </w:tc>
      </w:tr>
      <w:tr w:rsidR="001C5CB9" w:rsidRPr="00E00DDE" w:rsidTr="00F26BF7">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1C5CB9" w:rsidRPr="00E00DDE" w:rsidRDefault="001C5CB9">
            <w:pPr>
              <w:spacing w:line="300" w:lineRule="exact"/>
              <w:jc w:val="center"/>
              <w:rPr>
                <w:rFonts w:asciiTheme="minorEastAsia" w:hAnsiTheme="minorEastAsia"/>
              </w:rPr>
            </w:pPr>
            <w:r w:rsidRPr="00E00DDE">
              <w:rPr>
                <w:rFonts w:asciiTheme="minorEastAsia" w:hAnsiTheme="minorEastAsia" w:hint="eastAsia"/>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rsidP="00F26BF7">
            <w:pPr>
              <w:rPr>
                <w:rFonts w:asciiTheme="minorEastAsia" w:hAnsiTheme="minorEastAsia"/>
              </w:rPr>
            </w:pPr>
            <w:r w:rsidRPr="00E00DDE">
              <w:rPr>
                <w:rFonts w:asciiTheme="minorEastAsia" w:hAnsiTheme="minorEastAsia" w:hint="eastAsia"/>
              </w:rPr>
              <w:t xml:space="preserve">社会效益指标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rsidP="00F26BF7">
            <w:pPr>
              <w:rPr>
                <w:rFonts w:asciiTheme="minorEastAsia" w:hAnsiTheme="minorEastAsia"/>
              </w:rPr>
            </w:pPr>
            <w:r w:rsidRPr="00E00DDE">
              <w:rPr>
                <w:rFonts w:asciiTheme="minorEastAsia" w:hAnsiTheme="minorEastAsia" w:hint="eastAsia"/>
              </w:rPr>
              <w:t xml:space="preserve">降低投资风险 </w:t>
            </w:r>
          </w:p>
        </w:tc>
        <w:tc>
          <w:tcPr>
            <w:tcW w:w="3184"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pPr>
              <w:spacing w:line="300" w:lineRule="exact"/>
              <w:jc w:val="left"/>
              <w:rPr>
                <w:rFonts w:asciiTheme="minorEastAsia" w:hAnsiTheme="minorEastAsia"/>
              </w:rPr>
            </w:pPr>
            <w:r w:rsidRPr="00E00DDE">
              <w:rPr>
                <w:rFonts w:asciiTheme="minorEastAsia" w:hAnsiTheme="minorEastAsia" w:hint="eastAsia"/>
              </w:rPr>
              <w:t>通过评估报告降低企业投资 风险</w:t>
            </w:r>
          </w:p>
        </w:tc>
        <w:tc>
          <w:tcPr>
            <w:tcW w:w="1275"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rsidP="00F26BF7">
            <w:pPr>
              <w:rPr>
                <w:rFonts w:asciiTheme="minorEastAsia" w:hAnsiTheme="minorEastAsia"/>
              </w:rPr>
            </w:pPr>
            <w:r w:rsidRPr="00E00DDE">
              <w:rPr>
                <w:rFonts w:asciiTheme="minorEastAsia" w:hAnsiTheme="minorEastAsia" w:hint="eastAsia"/>
              </w:rPr>
              <w:t xml:space="preserve">有效 </w:t>
            </w:r>
          </w:p>
        </w:tc>
        <w:tc>
          <w:tcPr>
            <w:tcW w:w="1700"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pPr>
              <w:spacing w:line="300" w:lineRule="exact"/>
              <w:jc w:val="left"/>
              <w:rPr>
                <w:rFonts w:asciiTheme="minorEastAsia" w:hAnsiTheme="minorEastAsia"/>
              </w:rPr>
            </w:pPr>
            <w:r w:rsidRPr="00E00DDE">
              <w:rPr>
                <w:rFonts w:asciiTheme="minorEastAsia" w:hAnsiTheme="minorEastAsia" w:hint="eastAsia"/>
              </w:rPr>
              <w:t>计划标准</w:t>
            </w:r>
          </w:p>
        </w:tc>
      </w:tr>
      <w:tr w:rsidR="001C5CB9" w:rsidRPr="00E00DDE" w:rsidTr="00F26BF7">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1C5CB9" w:rsidRPr="00E00DDE" w:rsidRDefault="001C5CB9">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rsidP="00F26BF7">
            <w:pPr>
              <w:rPr>
                <w:rFonts w:asciiTheme="minorEastAsia" w:hAnsiTheme="minorEastAsia"/>
              </w:rPr>
            </w:pPr>
            <w:r w:rsidRPr="00E00DDE">
              <w:rPr>
                <w:rFonts w:asciiTheme="minorEastAsia" w:hAnsiTheme="minorEastAsia" w:hint="eastAsia"/>
              </w:rPr>
              <w:t xml:space="preserve">服务对象满意度指标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rsidP="00F26BF7">
            <w:pPr>
              <w:rPr>
                <w:rFonts w:asciiTheme="minorEastAsia" w:hAnsiTheme="minorEastAsia"/>
              </w:rPr>
            </w:pPr>
            <w:r w:rsidRPr="00E00DDE">
              <w:rPr>
                <w:rFonts w:asciiTheme="minorEastAsia" w:hAnsiTheme="minorEastAsia" w:hint="eastAsia"/>
              </w:rPr>
              <w:t xml:space="preserve">项目区域群众满意度 </w:t>
            </w:r>
          </w:p>
        </w:tc>
        <w:tc>
          <w:tcPr>
            <w:tcW w:w="3184"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rsidP="00F26BF7">
            <w:pPr>
              <w:rPr>
                <w:rFonts w:asciiTheme="minorEastAsia" w:hAnsiTheme="minorEastAsia"/>
              </w:rPr>
            </w:pPr>
            <w:r w:rsidRPr="00E00DDE">
              <w:rPr>
                <w:rFonts w:asciiTheme="minorEastAsia" w:hAnsiTheme="minorEastAsia" w:hint="eastAsia"/>
              </w:rPr>
              <w:t>是否达到项目区域群众满意</w:t>
            </w:r>
          </w:p>
        </w:tc>
        <w:tc>
          <w:tcPr>
            <w:tcW w:w="1275"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1C5CB9" w:rsidRPr="00E00DDE" w:rsidRDefault="00F26BF7">
            <w:pPr>
              <w:spacing w:line="300" w:lineRule="exact"/>
              <w:jc w:val="left"/>
              <w:rPr>
                <w:rFonts w:asciiTheme="minorEastAsia" w:hAnsiTheme="minorEastAsia"/>
              </w:rPr>
            </w:pPr>
            <w:r w:rsidRPr="00E00DDE">
              <w:rPr>
                <w:rFonts w:asciiTheme="minorEastAsia" w:hAnsiTheme="minorEastAsia" w:hint="eastAsia"/>
              </w:rPr>
              <w:t>计划标准</w:t>
            </w:r>
          </w:p>
        </w:tc>
      </w:tr>
    </w:tbl>
    <w:p w:rsidR="00680707" w:rsidRPr="00E00DDE" w:rsidRDefault="00671ADF" w:rsidP="00E00DDE">
      <w:pPr>
        <w:ind w:firstLineChars="200" w:firstLine="560"/>
        <w:jc w:val="left"/>
        <w:outlineLvl w:val="1"/>
        <w:rPr>
          <w:rFonts w:asciiTheme="minorEastAsia" w:hAnsiTheme="minorEastAsia"/>
          <w:sz w:val="28"/>
        </w:rPr>
      </w:pPr>
      <w:r w:rsidRPr="00E00DDE">
        <w:rPr>
          <w:rFonts w:asciiTheme="minorEastAsia" w:hAnsiTheme="minorEastAsia"/>
          <w:sz w:val="28"/>
        </w:rPr>
        <w:t>2</w:t>
      </w:r>
      <w:r w:rsidRPr="00E00DDE">
        <w:rPr>
          <w:rFonts w:asciiTheme="minorEastAsia" w:hAnsiTheme="minorEastAsia" w:hint="eastAsia"/>
          <w:sz w:val="28"/>
        </w:rPr>
        <w:t>、</w:t>
      </w:r>
      <w:r w:rsidR="00F26BF7" w:rsidRPr="00E00DDE">
        <w:rPr>
          <w:rFonts w:asciiTheme="minorEastAsia" w:hAnsiTheme="minorEastAsia" w:hint="eastAsia"/>
          <w:sz w:val="28"/>
        </w:rPr>
        <w:t>村级便民服务大厅视频监控及网络建设资金</w:t>
      </w:r>
      <w:r w:rsidRPr="00E00DDE">
        <w:rPr>
          <w:rFonts w:asciiTheme="minorEastAsia" w:hAnsiTheme="minorEastAsia" w:hint="eastAsia"/>
          <w:sz w:val="28"/>
        </w:rPr>
        <w:t>绩效目标表</w:t>
      </w:r>
    </w:p>
    <w:p w:rsidR="00671ADF" w:rsidRPr="00E00DDE" w:rsidRDefault="003859E6" w:rsidP="00E00DDE">
      <w:pPr>
        <w:ind w:firstLineChars="200" w:firstLine="560"/>
        <w:jc w:val="left"/>
        <w:outlineLvl w:val="1"/>
        <w:rPr>
          <w:rFonts w:asciiTheme="minorEastAsia" w:hAnsiTheme="minorEastAsia"/>
          <w:sz w:val="28"/>
        </w:rPr>
      </w:pPr>
      <w:r w:rsidRPr="00E00DDE">
        <w:rPr>
          <w:rFonts w:asciiTheme="minorEastAsia" w:hAnsiTheme="minorEastAsia" w:hint="eastAsia"/>
          <w:sz w:val="28"/>
        </w:rPr>
        <w:fldChar w:fldCharType="begin"/>
      </w:r>
      <w:r w:rsidR="00671ADF" w:rsidRPr="00E00DDE">
        <w:rPr>
          <w:rFonts w:asciiTheme="minorEastAsia" w:hAnsiTheme="minorEastAsia" w:hint="eastAsia"/>
          <w:sz w:val="28"/>
        </w:rPr>
        <w:instrText xml:space="preserve"> TC 1、常委会经费绩效目标表 \f C \l 1 </w:instrText>
      </w:r>
      <w:r w:rsidRPr="00E00DDE">
        <w:rPr>
          <w:rFonts w:asciiTheme="minorEastAsia" w:hAnsiTheme="minorEastAsia" w:hint="eastAsia"/>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671ADF" w:rsidRPr="00E00DDE" w:rsidTr="00680707">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lastRenderedPageBreak/>
              <w:t>绩效目标</w:t>
            </w:r>
          </w:p>
        </w:tc>
        <w:tc>
          <w:tcPr>
            <w:tcW w:w="11125" w:type="dxa"/>
            <w:tcBorders>
              <w:top w:val="single" w:sz="6" w:space="0" w:color="000000"/>
              <w:left w:val="single" w:sz="6" w:space="0" w:color="000000"/>
              <w:bottom w:val="nil"/>
              <w:right w:val="single" w:sz="6" w:space="0" w:color="000000"/>
            </w:tcBorders>
            <w:vAlign w:val="center"/>
          </w:tcPr>
          <w:p w:rsidR="00671ADF" w:rsidRPr="00E00DDE" w:rsidRDefault="00F26BF7" w:rsidP="00FB165E">
            <w:pPr>
              <w:spacing w:line="300" w:lineRule="exact"/>
              <w:jc w:val="left"/>
              <w:rPr>
                <w:rFonts w:asciiTheme="minorEastAsia" w:hAnsiTheme="minorEastAsia"/>
              </w:rPr>
            </w:pPr>
            <w:r w:rsidRPr="00E00DDE">
              <w:rPr>
                <w:rFonts w:asciiTheme="minorEastAsia" w:hAnsiTheme="minorEastAsia" w:hint="eastAsia"/>
              </w:rPr>
              <w:t>完成审批局机房相应设备的安装调配运行及全市所有村街便民服务站的设备安装及调 试工作，保障设备运行正常，达到视频、音频、信息服务共享互联互通。</w:t>
            </w:r>
          </w:p>
        </w:tc>
      </w:tr>
    </w:tbl>
    <w:p w:rsidR="00671ADF" w:rsidRPr="00E00DDE" w:rsidRDefault="00671ADF" w:rsidP="00671ADF">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671ADF" w:rsidRPr="00E00DDE" w:rsidTr="00680707">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671ADF" w:rsidRPr="00E00DDE" w:rsidTr="00680707">
        <w:trPr>
          <w:cantSplit/>
          <w:trHeight w:val="369"/>
          <w:jc w:val="center"/>
        </w:trPr>
        <w:tc>
          <w:tcPr>
            <w:tcW w:w="1699" w:type="dxa"/>
            <w:vMerge w:val="restart"/>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3026B2">
            <w:pPr>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3026B2">
            <w:pPr>
              <w:rPr>
                <w:rFonts w:asciiTheme="minorEastAsia" w:hAnsiTheme="minorEastAsia"/>
              </w:rPr>
            </w:pPr>
            <w:r w:rsidRPr="00E00DDE">
              <w:rPr>
                <w:rFonts w:asciiTheme="minorEastAsia" w:hAnsiTheme="minorEastAsia" w:hint="eastAsia"/>
              </w:rPr>
              <w:t xml:space="preserve">所有村居设备安装数量 </w:t>
            </w:r>
          </w:p>
        </w:tc>
        <w:tc>
          <w:tcPr>
            <w:tcW w:w="3184"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680707">
            <w:pPr>
              <w:rPr>
                <w:rFonts w:asciiTheme="minorEastAsia" w:hAnsiTheme="minorEastAsia"/>
              </w:rPr>
            </w:pPr>
            <w:r w:rsidRPr="00E00DDE">
              <w:rPr>
                <w:rFonts w:asciiTheme="minorEastAsia" w:hAnsiTheme="minorEastAsia" w:hint="eastAsia"/>
              </w:rPr>
              <w:t xml:space="preserve">每个村居安装完成、设备运行正常 </w:t>
            </w:r>
          </w:p>
        </w:tc>
        <w:tc>
          <w:tcPr>
            <w:tcW w:w="127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381个村</w:t>
            </w:r>
          </w:p>
        </w:tc>
        <w:tc>
          <w:tcPr>
            <w:tcW w:w="1700"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3026B2" w:rsidRPr="00E00DDE" w:rsidTr="00680707">
        <w:trPr>
          <w:cantSplit/>
          <w:trHeight w:val="369"/>
          <w:jc w:val="center"/>
        </w:trPr>
        <w:tc>
          <w:tcPr>
            <w:tcW w:w="1699" w:type="dxa"/>
            <w:vMerge/>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审批局机房设备安装数量</w:t>
            </w:r>
          </w:p>
        </w:tc>
        <w:tc>
          <w:tcPr>
            <w:tcW w:w="3184"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审批局机房设备安装配置完成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1套</w:t>
            </w:r>
          </w:p>
        </w:tc>
        <w:tc>
          <w:tcPr>
            <w:tcW w:w="1700"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3026B2" w:rsidRPr="00E00DDE" w:rsidTr="00680707">
        <w:trPr>
          <w:cantSplit/>
          <w:trHeight w:val="369"/>
          <w:jc w:val="center"/>
        </w:trPr>
        <w:tc>
          <w:tcPr>
            <w:tcW w:w="1699" w:type="dxa"/>
            <w:vMerge/>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设备正常运行率</w:t>
            </w:r>
          </w:p>
        </w:tc>
        <w:tc>
          <w:tcPr>
            <w:tcW w:w="3184"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保障设备正常运行</w:t>
            </w:r>
          </w:p>
        </w:tc>
        <w:tc>
          <w:tcPr>
            <w:tcW w:w="1275"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026B2"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671ADF" w:rsidRPr="00E00DDE" w:rsidTr="00680707">
        <w:trPr>
          <w:cantSplit/>
          <w:trHeight w:val="369"/>
          <w:jc w:val="center"/>
        </w:trPr>
        <w:tc>
          <w:tcPr>
            <w:tcW w:w="1699" w:type="dxa"/>
            <w:vMerge/>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验收完成时间</w:t>
            </w:r>
          </w:p>
        </w:tc>
        <w:tc>
          <w:tcPr>
            <w:tcW w:w="3184"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680707">
            <w:pPr>
              <w:rPr>
                <w:rFonts w:asciiTheme="minorEastAsia" w:hAnsiTheme="minorEastAsia"/>
              </w:rPr>
            </w:pPr>
            <w:r w:rsidRPr="00E00DDE">
              <w:rPr>
                <w:rFonts w:asciiTheme="minorEastAsia" w:hAnsiTheme="minorEastAsia" w:hint="eastAsia"/>
              </w:rPr>
              <w:t xml:space="preserve">设备全部安装调试并验收完毕时间 </w:t>
            </w:r>
          </w:p>
        </w:tc>
        <w:tc>
          <w:tcPr>
            <w:tcW w:w="127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3026B2">
            <w:pPr>
              <w:spacing w:line="300" w:lineRule="exact"/>
              <w:jc w:val="left"/>
              <w:rPr>
                <w:rFonts w:asciiTheme="minorEastAsia" w:hAnsiTheme="minorEastAsia"/>
              </w:rPr>
            </w:pPr>
            <w:r w:rsidRPr="00E00DDE">
              <w:rPr>
                <w:rFonts w:asciiTheme="minorEastAsia" w:hAnsiTheme="minorEastAsia" w:hint="eastAsia"/>
              </w:rPr>
              <w:t>≤3月份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671ADF" w:rsidRPr="00E00DDE" w:rsidTr="00680707">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增强服务能力</w:t>
            </w:r>
          </w:p>
        </w:tc>
        <w:tc>
          <w:tcPr>
            <w:tcW w:w="3184"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680707" w:rsidP="00680707">
            <w:pPr>
              <w:rPr>
                <w:rFonts w:asciiTheme="minorEastAsia" w:hAnsiTheme="minorEastAsia"/>
              </w:rPr>
            </w:pPr>
            <w:r w:rsidRPr="00E00DDE">
              <w:rPr>
                <w:rFonts w:asciiTheme="minorEastAsia" w:hAnsiTheme="minorEastAsia" w:hint="eastAsia"/>
              </w:rPr>
              <w:t xml:space="preserve">服务能力明显增强、发展环境明显改善,达到老百姓就近咨询办理业务 </w:t>
            </w:r>
          </w:p>
        </w:tc>
        <w:tc>
          <w:tcPr>
            <w:tcW w:w="127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有效增强</w:t>
            </w:r>
          </w:p>
        </w:tc>
        <w:tc>
          <w:tcPr>
            <w:tcW w:w="1700"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671ADF" w:rsidRPr="00E00DDE" w:rsidTr="00680707">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671ADF" w:rsidRPr="00E00DDE" w:rsidRDefault="00671ADF" w:rsidP="00FB165E">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办理人员的满意度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680707" w:rsidP="00680707">
            <w:pPr>
              <w:spacing w:line="300" w:lineRule="exact"/>
              <w:jc w:val="left"/>
              <w:rPr>
                <w:rFonts w:asciiTheme="minorEastAsia" w:hAnsiTheme="minorEastAsia"/>
              </w:rPr>
            </w:pPr>
            <w:r w:rsidRPr="00E00DDE">
              <w:rPr>
                <w:rFonts w:asciiTheme="minorEastAsia" w:hAnsiTheme="minorEastAsia" w:hint="eastAsia"/>
              </w:rPr>
              <w:t>办理人员满意和较满意的人数占总办理人员的比率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671ADF" w:rsidRPr="00E00DDE" w:rsidRDefault="003026B2" w:rsidP="00FB165E">
            <w:pPr>
              <w:spacing w:line="300" w:lineRule="exact"/>
              <w:jc w:val="left"/>
              <w:rPr>
                <w:rFonts w:asciiTheme="minorEastAsia" w:hAnsiTheme="minorEastAsia"/>
              </w:rPr>
            </w:pPr>
            <w:r w:rsidRPr="00E00DDE">
              <w:rPr>
                <w:rFonts w:asciiTheme="minorEastAsia" w:hAnsiTheme="minorEastAsia" w:hint="eastAsia"/>
              </w:rPr>
              <w:t>计划标准</w:t>
            </w:r>
          </w:p>
        </w:tc>
      </w:tr>
    </w:tbl>
    <w:p w:rsidR="00B26EF8" w:rsidRPr="00E00DDE" w:rsidRDefault="00671ADF" w:rsidP="00680707">
      <w:pPr>
        <w:ind w:firstLineChars="200" w:firstLine="640"/>
        <w:rPr>
          <w:rFonts w:asciiTheme="minorEastAsia" w:hAnsiTheme="minorEastAsia"/>
          <w:sz w:val="28"/>
        </w:rPr>
      </w:pPr>
      <w:r w:rsidRPr="00E00DDE">
        <w:rPr>
          <w:rFonts w:asciiTheme="minorEastAsia" w:hAnsiTheme="minorEastAsia" w:cs="Times New Roman"/>
          <w:color w:val="000000" w:themeColor="text1"/>
          <w:sz w:val="32"/>
          <w:szCs w:val="32"/>
        </w:rPr>
        <w:t>3</w:t>
      </w:r>
      <w:r w:rsidRPr="00E00DDE">
        <w:rPr>
          <w:rFonts w:asciiTheme="minorEastAsia" w:hAnsiTheme="minorEastAsia" w:cs="Times New Roman" w:hint="eastAsia"/>
          <w:color w:val="000000" w:themeColor="text1"/>
          <w:sz w:val="32"/>
          <w:szCs w:val="32"/>
        </w:rPr>
        <w:t>、</w:t>
      </w:r>
      <w:r w:rsidR="00680707" w:rsidRPr="00E00DDE">
        <w:rPr>
          <w:rFonts w:asciiTheme="minorEastAsia" w:hAnsiTheme="minorEastAsia" w:hint="eastAsia"/>
          <w:sz w:val="28"/>
        </w:rPr>
        <w:t>审批局房屋租赁经费绩效目标表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680707" w:rsidRPr="00E00DDE" w:rsidTr="00680707">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绩效目标</w:t>
            </w:r>
          </w:p>
        </w:tc>
        <w:tc>
          <w:tcPr>
            <w:tcW w:w="11125" w:type="dxa"/>
            <w:tcBorders>
              <w:top w:val="single" w:sz="6" w:space="0" w:color="000000"/>
              <w:left w:val="single" w:sz="6" w:space="0" w:color="000000"/>
              <w:bottom w:val="nil"/>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为进驻部门提供办公窗口和后台办公室等集中的办公场所，以实现“进一扇门，办所 有事”，缩短了办事时限，节省了人力、物力和财力，降低群众、企业的办事成本，保障 政务服务大厅的正常运行。</w:t>
            </w:r>
          </w:p>
        </w:tc>
      </w:tr>
    </w:tbl>
    <w:p w:rsidR="00680707" w:rsidRPr="00E00DDE" w:rsidRDefault="00680707" w:rsidP="00680707">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680707" w:rsidRPr="00E00DDE" w:rsidTr="00FB165E">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680707" w:rsidRPr="00E00DDE" w:rsidTr="00FB165E">
        <w:trPr>
          <w:cantSplit/>
          <w:trHeight w:val="369"/>
          <w:jc w:val="center"/>
        </w:trPr>
        <w:tc>
          <w:tcPr>
            <w:tcW w:w="1699" w:type="dxa"/>
            <w:vMerge w:val="restart"/>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tcPr>
          <w:p w:rsidR="00680707" w:rsidRPr="00E00DDE" w:rsidRDefault="00680707" w:rsidP="00680707">
            <w:pPr>
              <w:rPr>
                <w:rFonts w:asciiTheme="minorEastAsia" w:hAnsiTheme="minorEastAsia"/>
              </w:rPr>
            </w:pPr>
            <w:r w:rsidRPr="00E00DDE">
              <w:rPr>
                <w:rFonts w:asciiTheme="minorEastAsia" w:hAnsiTheme="minorEastAsia" w:hint="eastAsia"/>
              </w:rPr>
              <w:t xml:space="preserve">租赁场地面积 </w:t>
            </w:r>
          </w:p>
        </w:tc>
        <w:tc>
          <w:tcPr>
            <w:tcW w:w="3184" w:type="dxa"/>
            <w:tcBorders>
              <w:top w:val="single" w:sz="6" w:space="0" w:color="000000"/>
              <w:left w:val="single" w:sz="6" w:space="0" w:color="000000"/>
              <w:bottom w:val="single" w:sz="6" w:space="0" w:color="000000"/>
              <w:right w:val="single" w:sz="6" w:space="0" w:color="000000"/>
            </w:tcBorders>
          </w:tcPr>
          <w:p w:rsidR="00680707" w:rsidRPr="00E00DDE" w:rsidRDefault="00680707" w:rsidP="00680707">
            <w:pPr>
              <w:rPr>
                <w:rFonts w:asciiTheme="minorEastAsia" w:hAnsiTheme="minorEastAsia"/>
              </w:rPr>
            </w:pPr>
            <w:r w:rsidRPr="00E00DDE">
              <w:rPr>
                <w:rFonts w:asciiTheme="minorEastAsia" w:hAnsiTheme="minorEastAsia" w:hint="eastAsia"/>
              </w:rPr>
              <w:t>租赁</w:t>
            </w:r>
            <w:r w:rsidR="008B22E5" w:rsidRPr="00E00DDE">
              <w:rPr>
                <w:rFonts w:asciiTheme="minorEastAsia" w:hAnsiTheme="minorEastAsia" w:hint="eastAsia"/>
              </w:rPr>
              <w:t>总</w:t>
            </w:r>
            <w:r w:rsidRPr="00E00DDE">
              <w:rPr>
                <w:rFonts w:asciiTheme="minorEastAsia" w:hAnsiTheme="minorEastAsia" w:hint="eastAsia"/>
              </w:rPr>
              <w:t xml:space="preserve">面积 </w:t>
            </w:r>
          </w:p>
        </w:tc>
        <w:tc>
          <w:tcPr>
            <w:tcW w:w="1275" w:type="dxa"/>
            <w:tcBorders>
              <w:top w:val="single" w:sz="6" w:space="0" w:color="000000"/>
              <w:left w:val="single" w:sz="6" w:space="0" w:color="000000"/>
              <w:bottom w:val="single" w:sz="6" w:space="0" w:color="000000"/>
              <w:right w:val="single" w:sz="6" w:space="0" w:color="000000"/>
            </w:tcBorders>
          </w:tcPr>
          <w:p w:rsidR="00680707" w:rsidRPr="00E00DDE" w:rsidRDefault="008B22E5" w:rsidP="00FB165E">
            <w:pPr>
              <w:rPr>
                <w:rFonts w:asciiTheme="minorEastAsia" w:hAnsiTheme="minorEastAsia"/>
              </w:rPr>
            </w:pPr>
            <w:r w:rsidRPr="00E00DDE">
              <w:rPr>
                <w:rFonts w:asciiTheme="minorEastAsia" w:hAnsiTheme="minorEastAsia" w:hint="eastAsia"/>
              </w:rPr>
              <w:t>8616.9平方米</w:t>
            </w:r>
          </w:p>
        </w:tc>
        <w:tc>
          <w:tcPr>
            <w:tcW w:w="1700" w:type="dxa"/>
            <w:tcBorders>
              <w:top w:val="single" w:sz="6" w:space="0" w:color="000000"/>
              <w:left w:val="single" w:sz="6" w:space="0" w:color="000000"/>
              <w:bottom w:val="single" w:sz="6" w:space="0" w:color="000000"/>
              <w:right w:val="single" w:sz="6" w:space="0" w:color="000000"/>
            </w:tcBorders>
          </w:tcPr>
          <w:p w:rsidR="00680707" w:rsidRPr="00E00DDE" w:rsidRDefault="008B22E5" w:rsidP="008B22E5">
            <w:pPr>
              <w:rPr>
                <w:rFonts w:asciiTheme="minorEastAsia" w:hAnsiTheme="minorEastAsia"/>
              </w:rPr>
            </w:pPr>
            <w:r w:rsidRPr="00E00DDE">
              <w:rPr>
                <w:rFonts w:asciiTheme="minorEastAsia" w:hAnsiTheme="minorEastAsia" w:hint="eastAsia"/>
              </w:rPr>
              <w:t>计划标准</w:t>
            </w:r>
          </w:p>
        </w:tc>
      </w:tr>
      <w:tr w:rsidR="00680707" w:rsidRPr="00E00DDE" w:rsidTr="00FB165E">
        <w:trPr>
          <w:cantSplit/>
          <w:trHeight w:val="369"/>
          <w:jc w:val="center"/>
        </w:trPr>
        <w:tc>
          <w:tcPr>
            <w:tcW w:w="1699" w:type="dxa"/>
            <w:vMerge/>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足额支付率</w:t>
            </w:r>
          </w:p>
        </w:tc>
        <w:tc>
          <w:tcPr>
            <w:tcW w:w="3184"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足额支付金额占总金额的比率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680707" w:rsidRPr="00E00DDE" w:rsidTr="00FB165E">
        <w:trPr>
          <w:cantSplit/>
          <w:trHeight w:val="369"/>
          <w:jc w:val="center"/>
        </w:trPr>
        <w:tc>
          <w:tcPr>
            <w:tcW w:w="1699" w:type="dxa"/>
            <w:vMerge/>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8B22E5">
            <w:pPr>
              <w:spacing w:line="300" w:lineRule="exact"/>
              <w:jc w:val="left"/>
              <w:rPr>
                <w:rFonts w:asciiTheme="minorEastAsia" w:hAnsiTheme="minorEastAsia"/>
              </w:rPr>
            </w:pPr>
            <w:r w:rsidRPr="00E00DDE">
              <w:rPr>
                <w:rFonts w:asciiTheme="minorEastAsia" w:hAnsiTheme="minorEastAsia" w:hint="eastAsia"/>
              </w:rPr>
              <w:t>支付完成时间</w:t>
            </w:r>
          </w:p>
        </w:tc>
        <w:tc>
          <w:tcPr>
            <w:tcW w:w="3184"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rPr>
                <w:rFonts w:asciiTheme="minorEastAsia" w:hAnsiTheme="minorEastAsia"/>
              </w:rPr>
            </w:pPr>
            <w:r w:rsidRPr="00E00DDE">
              <w:rPr>
                <w:rFonts w:asciiTheme="minorEastAsia" w:hAnsiTheme="minorEastAsia" w:hint="eastAsia"/>
              </w:rPr>
              <w:t>房租完成支付时间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8B22E5">
            <w:pPr>
              <w:spacing w:line="300" w:lineRule="exact"/>
              <w:jc w:val="left"/>
              <w:rPr>
                <w:rFonts w:asciiTheme="minorEastAsia" w:hAnsiTheme="minorEastAsia"/>
              </w:rPr>
            </w:pPr>
            <w:r w:rsidRPr="00E00DDE">
              <w:rPr>
                <w:rFonts w:asciiTheme="minorEastAsia" w:hAnsiTheme="minorEastAsia" w:hint="eastAsia"/>
              </w:rPr>
              <w:t>≤4月份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680707"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lastRenderedPageBreak/>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办公场所正常运转率</w:t>
            </w:r>
          </w:p>
        </w:tc>
        <w:tc>
          <w:tcPr>
            <w:tcW w:w="3184"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rPr>
                <w:rFonts w:asciiTheme="minorEastAsia" w:hAnsiTheme="minorEastAsia"/>
              </w:rPr>
            </w:pPr>
            <w:r w:rsidRPr="00E00DDE">
              <w:rPr>
                <w:rFonts w:asciiTheme="minorEastAsia" w:hAnsiTheme="minorEastAsia" w:hint="eastAsia"/>
              </w:rPr>
              <w:t>正常运转办公场所面积占总 面积的比率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≥80%</w:t>
            </w:r>
          </w:p>
        </w:tc>
        <w:tc>
          <w:tcPr>
            <w:tcW w:w="1700"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680707"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680707" w:rsidRPr="00E00DDE" w:rsidRDefault="00680707" w:rsidP="00FB165E">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企业、群众满意度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企业、群众满意、较满意人数 占所有受调查人数的比率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680707" w:rsidRPr="00E00DDE" w:rsidRDefault="00680707" w:rsidP="00FB165E">
            <w:pPr>
              <w:spacing w:line="300" w:lineRule="exact"/>
              <w:jc w:val="left"/>
              <w:rPr>
                <w:rFonts w:asciiTheme="minorEastAsia" w:hAnsiTheme="minorEastAsia"/>
              </w:rPr>
            </w:pPr>
            <w:r w:rsidRPr="00E00DDE">
              <w:rPr>
                <w:rFonts w:asciiTheme="minorEastAsia" w:hAnsiTheme="minorEastAsia" w:hint="eastAsia"/>
              </w:rPr>
              <w:t>计划标准</w:t>
            </w:r>
          </w:p>
        </w:tc>
      </w:tr>
    </w:tbl>
    <w:p w:rsidR="008B22E5" w:rsidRPr="00E00DDE" w:rsidRDefault="00FB165E" w:rsidP="00680707">
      <w:pPr>
        <w:ind w:firstLineChars="200" w:firstLine="640"/>
        <w:rPr>
          <w:rFonts w:asciiTheme="minorEastAsia" w:hAnsiTheme="minorEastAsia"/>
          <w:sz w:val="28"/>
        </w:rPr>
      </w:pPr>
      <w:r w:rsidRPr="00E00DDE">
        <w:rPr>
          <w:rFonts w:asciiTheme="minorEastAsia" w:hAnsiTheme="minorEastAsia" w:cs="Times New Roman" w:hint="eastAsia"/>
          <w:color w:val="000000" w:themeColor="text1"/>
          <w:sz w:val="32"/>
          <w:szCs w:val="32"/>
        </w:rPr>
        <w:t>4</w:t>
      </w:r>
      <w:r w:rsidR="00680707" w:rsidRPr="00E00DDE">
        <w:rPr>
          <w:rFonts w:asciiTheme="minorEastAsia" w:hAnsiTheme="minorEastAsia" w:cs="Times New Roman" w:hint="eastAsia"/>
          <w:color w:val="000000" w:themeColor="text1"/>
          <w:sz w:val="32"/>
          <w:szCs w:val="32"/>
        </w:rPr>
        <w:t>、</w:t>
      </w:r>
      <w:r w:rsidR="008B22E5" w:rsidRPr="00E00DDE">
        <w:rPr>
          <w:rFonts w:asciiTheme="minorEastAsia" w:hAnsiTheme="minorEastAsia" w:hint="eastAsia"/>
          <w:sz w:val="28"/>
        </w:rPr>
        <w:t>审批局物业费绩效目标表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8B22E5" w:rsidRPr="00E00DDE" w:rsidTr="00FB165E">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绩效目标</w:t>
            </w:r>
          </w:p>
        </w:tc>
        <w:tc>
          <w:tcPr>
            <w:tcW w:w="11125" w:type="dxa"/>
            <w:tcBorders>
              <w:top w:val="single" w:sz="6" w:space="0" w:color="000000"/>
              <w:left w:val="single" w:sz="6" w:space="0" w:color="000000"/>
              <w:bottom w:val="nil"/>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通过聘请专业的物业管理模式，保障政务服务大厅良好办公环境，以更好的服务形象 为企业、群众良好的办事公共场所，确保政务服务大厅正常运转。</w:t>
            </w:r>
          </w:p>
        </w:tc>
      </w:tr>
    </w:tbl>
    <w:p w:rsidR="008B22E5" w:rsidRPr="00E00DDE" w:rsidRDefault="008B22E5" w:rsidP="008B22E5">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8B22E5" w:rsidRPr="00E00DDE" w:rsidTr="00FB165E">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8B22E5" w:rsidRPr="00E00DDE" w:rsidTr="00FB165E">
        <w:trPr>
          <w:cantSplit/>
          <w:trHeight w:val="369"/>
          <w:jc w:val="center"/>
        </w:trPr>
        <w:tc>
          <w:tcPr>
            <w:tcW w:w="1699" w:type="dxa"/>
            <w:vMerge w:val="restart"/>
            <w:tcBorders>
              <w:top w:val="single" w:sz="6" w:space="0" w:color="000000"/>
              <w:left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8B22E5">
            <w:pPr>
              <w:spacing w:line="300" w:lineRule="exact"/>
              <w:jc w:val="left"/>
              <w:rPr>
                <w:rFonts w:asciiTheme="minorEastAsia" w:hAnsiTheme="minorEastAsia"/>
              </w:rPr>
            </w:pPr>
            <w:r w:rsidRPr="00E00DDE">
              <w:rPr>
                <w:rFonts w:asciiTheme="minorEastAsia" w:hAnsiTheme="minorEastAsia" w:hint="eastAsia"/>
              </w:rPr>
              <w:t>每天巡察次数</w:t>
            </w:r>
          </w:p>
        </w:tc>
        <w:tc>
          <w:tcPr>
            <w:tcW w:w="3184"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对大厅各项物业服务进行定时巡察，处理问题</w:t>
            </w:r>
          </w:p>
        </w:tc>
        <w:tc>
          <w:tcPr>
            <w:tcW w:w="127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≥4次</w:t>
            </w:r>
          </w:p>
        </w:tc>
        <w:tc>
          <w:tcPr>
            <w:tcW w:w="1700"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历史经验</w:t>
            </w:r>
          </w:p>
        </w:tc>
      </w:tr>
      <w:tr w:rsidR="008B22E5" w:rsidRPr="00E00DDE" w:rsidTr="00FB165E">
        <w:trPr>
          <w:cantSplit/>
          <w:trHeight w:val="369"/>
          <w:jc w:val="center"/>
        </w:trPr>
        <w:tc>
          <w:tcPr>
            <w:tcW w:w="1699" w:type="dxa"/>
            <w:vMerge/>
            <w:tcBorders>
              <w:left w:val="single" w:sz="6" w:space="0" w:color="000000"/>
              <w:right w:val="single" w:sz="6" w:space="0" w:color="000000"/>
            </w:tcBorders>
            <w:vAlign w:val="center"/>
          </w:tcPr>
          <w:p w:rsidR="008B22E5" w:rsidRPr="00E00DDE" w:rsidRDefault="008B22E5"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8B22E5">
            <w:pPr>
              <w:rPr>
                <w:rFonts w:asciiTheme="minorEastAsia" w:hAnsiTheme="minorEastAsia"/>
              </w:rPr>
            </w:pPr>
            <w:r w:rsidRPr="00E00DDE">
              <w:rPr>
                <w:rFonts w:asciiTheme="minorEastAsia" w:hAnsiTheme="minorEastAsia" w:hint="eastAsia"/>
              </w:rPr>
              <w:t>保证配齐所有岗位人员数量</w:t>
            </w:r>
          </w:p>
        </w:tc>
        <w:tc>
          <w:tcPr>
            <w:tcW w:w="3184"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8B22E5">
            <w:pPr>
              <w:spacing w:line="300" w:lineRule="exact"/>
              <w:jc w:val="left"/>
              <w:rPr>
                <w:rFonts w:asciiTheme="minorEastAsia" w:hAnsiTheme="minorEastAsia"/>
              </w:rPr>
            </w:pPr>
            <w:r w:rsidRPr="00E00DDE">
              <w:rPr>
                <w:rFonts w:asciiTheme="minorEastAsia" w:hAnsiTheme="minorEastAsia" w:hint="eastAsia"/>
              </w:rPr>
              <w:t>按合同要求，配备物业各岗位人员数量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≥26人</w:t>
            </w:r>
          </w:p>
        </w:tc>
        <w:tc>
          <w:tcPr>
            <w:tcW w:w="1700"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8B22E5" w:rsidRPr="00E00DDE" w:rsidTr="00FB165E">
        <w:trPr>
          <w:cantSplit/>
          <w:trHeight w:val="369"/>
          <w:jc w:val="center"/>
        </w:trPr>
        <w:tc>
          <w:tcPr>
            <w:tcW w:w="1699" w:type="dxa"/>
            <w:vMerge/>
            <w:tcBorders>
              <w:left w:val="single" w:sz="6" w:space="0" w:color="000000"/>
              <w:right w:val="single" w:sz="6" w:space="0" w:color="000000"/>
            </w:tcBorders>
            <w:vAlign w:val="center"/>
            <w:hideMark/>
          </w:tcPr>
          <w:p w:rsidR="008B22E5" w:rsidRPr="00E00DDE" w:rsidRDefault="008B22E5"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8B22E5">
            <w:pPr>
              <w:rPr>
                <w:rFonts w:asciiTheme="minorEastAsia" w:hAnsiTheme="minorEastAsia"/>
              </w:rPr>
            </w:pPr>
            <w:r w:rsidRPr="00E00DDE">
              <w:rPr>
                <w:rFonts w:asciiTheme="minorEastAsia" w:hAnsiTheme="minorEastAsia" w:hint="eastAsia"/>
              </w:rPr>
              <w:t>服务考核合格率</w:t>
            </w:r>
          </w:p>
        </w:tc>
        <w:tc>
          <w:tcPr>
            <w:tcW w:w="3184"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8B22E5">
            <w:pPr>
              <w:spacing w:line="300" w:lineRule="exact"/>
              <w:jc w:val="left"/>
              <w:rPr>
                <w:rFonts w:asciiTheme="minorEastAsia" w:hAnsiTheme="minorEastAsia"/>
              </w:rPr>
            </w:pPr>
            <w:r w:rsidRPr="00E00DDE">
              <w:rPr>
                <w:rFonts w:asciiTheme="minorEastAsia" w:hAnsiTheme="minorEastAsia" w:hint="eastAsia"/>
              </w:rPr>
              <w:t>服务考核合格占所有考核内容的比率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8B22E5" w:rsidRPr="00E00DDE" w:rsidTr="00FB165E">
        <w:trPr>
          <w:cantSplit/>
          <w:trHeight w:val="369"/>
          <w:jc w:val="center"/>
        </w:trPr>
        <w:tc>
          <w:tcPr>
            <w:tcW w:w="1699" w:type="dxa"/>
            <w:vMerge/>
            <w:tcBorders>
              <w:left w:val="single" w:sz="6" w:space="0" w:color="000000"/>
              <w:bottom w:val="single" w:sz="6" w:space="0" w:color="000000"/>
              <w:right w:val="single" w:sz="6" w:space="0" w:color="000000"/>
            </w:tcBorders>
            <w:vAlign w:val="center"/>
          </w:tcPr>
          <w:p w:rsidR="008B22E5" w:rsidRPr="00E00DDE" w:rsidRDefault="008B22E5"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rPr>
                <w:rFonts w:asciiTheme="minorEastAsia" w:hAnsiTheme="minorEastAsia"/>
              </w:rPr>
            </w:pPr>
            <w:r w:rsidRPr="00E00DDE">
              <w:rPr>
                <w:rFonts w:asciiTheme="minorEastAsia" w:hAnsiTheme="minorEastAsia" w:hint="eastAsia"/>
              </w:rPr>
              <w:t>招投标确定服务机构时间</w:t>
            </w:r>
          </w:p>
        </w:tc>
        <w:tc>
          <w:tcPr>
            <w:tcW w:w="3184"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rPr>
                <w:rFonts w:asciiTheme="minorEastAsia" w:hAnsiTheme="minorEastAsia"/>
              </w:rPr>
            </w:pPr>
            <w:r w:rsidRPr="00E00DDE">
              <w:rPr>
                <w:rFonts w:asciiTheme="minorEastAsia" w:hAnsiTheme="minorEastAsia" w:hint="eastAsia"/>
              </w:rPr>
              <w:t>招投标确定服务机构时间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≤3月份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8B22E5"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rPr>
                <w:rFonts w:asciiTheme="minorEastAsia" w:hAnsiTheme="minorEastAsia"/>
              </w:rPr>
            </w:pPr>
            <w:r w:rsidRPr="00E00DDE">
              <w:rPr>
                <w:rFonts w:asciiTheme="minorEastAsia" w:hAnsiTheme="minorEastAsia" w:hint="eastAsia"/>
              </w:rPr>
              <w:t xml:space="preserve">社会效益指标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rPr>
                <w:rFonts w:asciiTheme="minorEastAsia" w:hAnsiTheme="minorEastAsia"/>
              </w:rPr>
            </w:pPr>
            <w:r w:rsidRPr="00E00DDE">
              <w:rPr>
                <w:rFonts w:asciiTheme="minorEastAsia" w:hAnsiTheme="minorEastAsia" w:hint="eastAsia"/>
              </w:rPr>
              <w:t>提升办公服务环境</w:t>
            </w:r>
          </w:p>
        </w:tc>
        <w:tc>
          <w:tcPr>
            <w:tcW w:w="3184"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为进入大厅办事企业群众提供优质服务环境</w:t>
            </w:r>
          </w:p>
        </w:tc>
        <w:tc>
          <w:tcPr>
            <w:tcW w:w="127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rPr>
                <w:rFonts w:asciiTheme="minorEastAsia" w:hAnsiTheme="minorEastAsia"/>
              </w:rPr>
            </w:pPr>
            <w:r w:rsidRPr="00E00DDE">
              <w:rPr>
                <w:rFonts w:asciiTheme="minorEastAsia" w:hAnsiTheme="minorEastAsia"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8B22E5"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8B22E5" w:rsidRPr="00E00DDE" w:rsidRDefault="008B22E5" w:rsidP="00FB165E">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rPr>
                <w:rFonts w:asciiTheme="minorEastAsia" w:hAnsiTheme="minorEastAsia"/>
              </w:rPr>
            </w:pPr>
            <w:r w:rsidRPr="00E00DDE">
              <w:rPr>
                <w:rFonts w:asciiTheme="minorEastAsia" w:hAnsiTheme="minorEastAsia" w:hint="eastAsia"/>
              </w:rPr>
              <w:t xml:space="preserve">服务对象满意度指标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rPr>
                <w:rFonts w:asciiTheme="minorEastAsia" w:hAnsiTheme="minorEastAsia"/>
              </w:rPr>
            </w:pPr>
            <w:r w:rsidRPr="00E00DDE">
              <w:rPr>
                <w:rFonts w:asciiTheme="minorEastAsia" w:hAnsiTheme="minorEastAsia" w:hint="eastAsia"/>
              </w:rPr>
              <w:t>办事企业群众使用满意度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FB165E" w:rsidP="00FB165E">
            <w:pPr>
              <w:rPr>
                <w:rFonts w:asciiTheme="minorEastAsia" w:hAnsiTheme="minorEastAsia"/>
              </w:rPr>
            </w:pPr>
            <w:r w:rsidRPr="00E00DDE">
              <w:rPr>
                <w:rFonts w:asciiTheme="minorEastAsia" w:hAnsiTheme="minorEastAsia" w:hint="eastAsia"/>
              </w:rPr>
              <w:t>调查中表示满意的数量占全部调查总人数的比率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8B22E5" w:rsidRPr="00E00DDE" w:rsidRDefault="008B22E5" w:rsidP="00FB165E">
            <w:pPr>
              <w:spacing w:line="300" w:lineRule="exact"/>
              <w:jc w:val="left"/>
              <w:rPr>
                <w:rFonts w:asciiTheme="minorEastAsia" w:hAnsiTheme="minorEastAsia"/>
              </w:rPr>
            </w:pPr>
            <w:r w:rsidRPr="00E00DDE">
              <w:rPr>
                <w:rFonts w:asciiTheme="minorEastAsia" w:hAnsiTheme="minorEastAsia" w:hint="eastAsia"/>
              </w:rPr>
              <w:t>计划标准</w:t>
            </w:r>
          </w:p>
        </w:tc>
      </w:tr>
    </w:tbl>
    <w:p w:rsidR="00FB165E" w:rsidRPr="00E00DDE" w:rsidRDefault="00FB165E" w:rsidP="00E00DDE">
      <w:pPr>
        <w:ind w:firstLineChars="200" w:firstLine="560"/>
        <w:jc w:val="left"/>
        <w:outlineLvl w:val="1"/>
        <w:rPr>
          <w:rFonts w:asciiTheme="minorEastAsia" w:hAnsiTheme="minorEastAsia"/>
          <w:sz w:val="28"/>
        </w:rPr>
      </w:pPr>
      <w:r w:rsidRPr="00E00DDE">
        <w:rPr>
          <w:rFonts w:asciiTheme="minorEastAsia" w:hAnsiTheme="minorEastAsia" w:hint="eastAsia"/>
          <w:sz w:val="28"/>
        </w:rPr>
        <w:t>5</w:t>
      </w:r>
      <w:r w:rsidR="008B22E5" w:rsidRPr="00E00DDE">
        <w:rPr>
          <w:rFonts w:asciiTheme="minorEastAsia" w:hAnsiTheme="minorEastAsia" w:hint="eastAsia"/>
          <w:sz w:val="28"/>
        </w:rPr>
        <w:t>、</w:t>
      </w:r>
      <w:r w:rsidRPr="00E00DDE">
        <w:rPr>
          <w:rFonts w:asciiTheme="minorEastAsia" w:hAnsiTheme="minorEastAsia" w:hint="eastAsia"/>
          <w:sz w:val="28"/>
        </w:rPr>
        <w:t>网络机房安全管理设备升级维护经费绩效目标表</w:t>
      </w:r>
    </w:p>
    <w:p w:rsidR="00FB165E" w:rsidRPr="00E00DDE" w:rsidRDefault="00FB165E" w:rsidP="00E00DDE">
      <w:pPr>
        <w:ind w:firstLineChars="200" w:firstLine="420"/>
        <w:jc w:val="left"/>
        <w:outlineLvl w:val="1"/>
        <w:rPr>
          <w:rFonts w:asciiTheme="minorEastAsia" w:hAnsiTheme="minorEastAsia"/>
        </w:rPr>
      </w:pPr>
    </w:p>
    <w:p w:rsidR="00FB165E" w:rsidRPr="00E00DDE" w:rsidRDefault="00FB165E" w:rsidP="00FB165E">
      <w:pPr>
        <w:ind w:firstLineChars="200" w:firstLine="420"/>
        <w:jc w:val="left"/>
        <w:outlineLvl w:val="1"/>
        <w:rPr>
          <w:rFonts w:asciiTheme="minorEastAsia" w:hAnsiTheme="minorEastAsia"/>
        </w:rPr>
      </w:pP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FB165E" w:rsidRPr="00E00DDE" w:rsidTr="00FB165E">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lastRenderedPageBreak/>
              <w:t>绩效目标</w:t>
            </w:r>
          </w:p>
        </w:tc>
        <w:tc>
          <w:tcPr>
            <w:tcW w:w="11125" w:type="dxa"/>
            <w:tcBorders>
              <w:top w:val="single" w:sz="6" w:space="0" w:color="000000"/>
              <w:left w:val="single" w:sz="6" w:space="0" w:color="000000"/>
              <w:bottom w:val="nil"/>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1、通过购置设备升级涉设备，增强机房安全管理设备功能完善、升级，保持设备各项功 能正常使用，对大厅网络有效管理。 2、通过续费深信服设备，保持网络顺畅、系统安全、规范使用。</w:t>
            </w:r>
          </w:p>
        </w:tc>
      </w:tr>
    </w:tbl>
    <w:p w:rsidR="00FB165E" w:rsidRPr="00E00DDE" w:rsidRDefault="00FB165E" w:rsidP="00FB165E">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FB165E" w:rsidRPr="00E00DDE" w:rsidTr="00FB165E">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FB165E" w:rsidRPr="00E00DDE" w:rsidTr="00FB165E">
        <w:trPr>
          <w:cantSplit/>
          <w:trHeight w:val="369"/>
          <w:jc w:val="center"/>
        </w:trPr>
        <w:tc>
          <w:tcPr>
            <w:tcW w:w="1699" w:type="dxa"/>
            <w:vMerge w:val="restart"/>
            <w:tcBorders>
              <w:top w:val="single" w:sz="6" w:space="0" w:color="000000"/>
              <w:left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升级设备数量</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按标准正常升级三个防护设备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≥3项</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right w:val="single" w:sz="6" w:space="0" w:color="000000"/>
            </w:tcBorders>
            <w:vAlign w:val="center"/>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续费设备数量</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深信服设备续费数量4台</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4台</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right w:val="single" w:sz="6" w:space="0" w:color="000000"/>
            </w:tcBorders>
            <w:vAlign w:val="center"/>
            <w:hideMark/>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设备验收合格率</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通过验收的升级设备数量/购置设备总数</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bottom w:val="single" w:sz="6" w:space="0" w:color="000000"/>
              <w:right w:val="single" w:sz="6" w:space="0" w:color="000000"/>
            </w:tcBorders>
            <w:vAlign w:val="center"/>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购置设备完成时间</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购置设备完成及通过验收时间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≤6月份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bottom w:val="single" w:sz="6" w:space="0" w:color="000000"/>
              <w:right w:val="single" w:sz="6" w:space="0" w:color="000000"/>
            </w:tcBorders>
            <w:vAlign w:val="center"/>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续费完成时间</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深信服设备续费完成时间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≤6月份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社会效益指标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设备正常运转率</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正常运转设备/设备数量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服务对象满意度指标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办事企业群众使用满意度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调查中表示满意的数量占全部办理群众的比率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bl>
    <w:p w:rsidR="00FB165E" w:rsidRPr="00E00DDE" w:rsidRDefault="00FB165E" w:rsidP="00E00DDE">
      <w:pPr>
        <w:ind w:firstLineChars="200" w:firstLine="560"/>
        <w:jc w:val="left"/>
        <w:outlineLvl w:val="1"/>
        <w:rPr>
          <w:rFonts w:asciiTheme="minorEastAsia" w:hAnsiTheme="minorEastAsia"/>
          <w:sz w:val="28"/>
        </w:rPr>
      </w:pPr>
      <w:r w:rsidRPr="00E00DDE">
        <w:rPr>
          <w:rFonts w:asciiTheme="minorEastAsia" w:hAnsiTheme="minorEastAsia" w:hint="eastAsia"/>
          <w:sz w:val="28"/>
        </w:rPr>
        <w:t>6、</w:t>
      </w:r>
      <w:r w:rsidR="00542BB4" w:rsidRPr="00E00DDE">
        <w:rPr>
          <w:rFonts w:asciiTheme="minorEastAsia" w:hAnsiTheme="minorEastAsia" w:hint="eastAsia"/>
          <w:sz w:val="28"/>
        </w:rPr>
        <w:t>新建霸州市政务服务大厅项目建设用地地上物拆除费绩效目标表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FB165E" w:rsidRPr="00E00DDE" w:rsidTr="00FB165E">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绩效目标</w:t>
            </w:r>
          </w:p>
        </w:tc>
        <w:tc>
          <w:tcPr>
            <w:tcW w:w="11125" w:type="dxa"/>
            <w:tcBorders>
              <w:top w:val="single" w:sz="6" w:space="0" w:color="000000"/>
              <w:left w:val="single" w:sz="6" w:space="0" w:color="000000"/>
              <w:bottom w:val="nil"/>
              <w:right w:val="single" w:sz="6" w:space="0" w:color="000000"/>
            </w:tcBorders>
            <w:vAlign w:val="center"/>
          </w:tcPr>
          <w:p w:rsidR="00FB165E" w:rsidRPr="00E00DDE" w:rsidRDefault="00542BB4" w:rsidP="00FB165E">
            <w:pPr>
              <w:spacing w:line="300" w:lineRule="exact"/>
              <w:jc w:val="left"/>
              <w:rPr>
                <w:rFonts w:asciiTheme="minorEastAsia" w:hAnsiTheme="minorEastAsia"/>
              </w:rPr>
            </w:pPr>
            <w:r w:rsidRPr="00E00DDE">
              <w:rPr>
                <w:rFonts w:asciiTheme="minorEastAsia" w:hAnsiTheme="minorEastAsia" w:hint="eastAsia"/>
              </w:rPr>
              <w:t>将原开发区管理委员会旧址地上物进行拆除，以加快新建霸州市政务服务大厅建设。</w:t>
            </w:r>
          </w:p>
        </w:tc>
      </w:tr>
    </w:tbl>
    <w:p w:rsidR="00FB165E" w:rsidRPr="00E00DDE" w:rsidRDefault="00FB165E" w:rsidP="00FB165E">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FB165E" w:rsidRPr="00E00DDE" w:rsidTr="00FB165E">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FB165E" w:rsidRPr="00E00DDE" w:rsidTr="00FB165E">
        <w:trPr>
          <w:cantSplit/>
          <w:trHeight w:val="369"/>
          <w:jc w:val="center"/>
        </w:trPr>
        <w:tc>
          <w:tcPr>
            <w:tcW w:w="1699" w:type="dxa"/>
            <w:vMerge w:val="restart"/>
            <w:tcBorders>
              <w:top w:val="single" w:sz="6" w:space="0" w:color="000000"/>
              <w:left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542BB4">
            <w:pPr>
              <w:spacing w:line="300" w:lineRule="exact"/>
              <w:jc w:val="left"/>
              <w:rPr>
                <w:rFonts w:asciiTheme="minorEastAsia" w:hAnsiTheme="minorEastAsia"/>
              </w:rPr>
            </w:pPr>
            <w:r w:rsidRPr="00E00DDE">
              <w:rPr>
                <w:rFonts w:asciiTheme="minorEastAsia" w:hAnsiTheme="minorEastAsia" w:hint="eastAsia"/>
              </w:rPr>
              <w:t>支付工程款项数量</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FB165E">
            <w:pPr>
              <w:spacing w:line="300" w:lineRule="exact"/>
              <w:jc w:val="left"/>
              <w:rPr>
                <w:rFonts w:asciiTheme="minorEastAsia" w:hAnsiTheme="minorEastAsia"/>
              </w:rPr>
            </w:pPr>
            <w:r w:rsidRPr="00E00DDE">
              <w:rPr>
                <w:rFonts w:asciiTheme="minorEastAsia" w:hAnsiTheme="minorEastAsia" w:hint="eastAsia"/>
              </w:rPr>
              <w:t>支付工程款项数量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FB165E">
            <w:pPr>
              <w:spacing w:line="300" w:lineRule="exact"/>
              <w:jc w:val="left"/>
              <w:rPr>
                <w:rFonts w:asciiTheme="minorEastAsia" w:hAnsiTheme="minorEastAsia"/>
              </w:rPr>
            </w:pPr>
            <w:r w:rsidRPr="00E00DDE">
              <w:rPr>
                <w:rFonts w:asciiTheme="minorEastAsia" w:hAnsiTheme="minorEastAsia" w:hint="eastAsia"/>
              </w:rPr>
              <w:t>1 项</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历史经验</w:t>
            </w:r>
          </w:p>
        </w:tc>
      </w:tr>
      <w:tr w:rsidR="00FB165E" w:rsidRPr="00E00DDE" w:rsidTr="00FB165E">
        <w:trPr>
          <w:cantSplit/>
          <w:trHeight w:val="369"/>
          <w:jc w:val="center"/>
        </w:trPr>
        <w:tc>
          <w:tcPr>
            <w:tcW w:w="1699" w:type="dxa"/>
            <w:vMerge/>
            <w:tcBorders>
              <w:left w:val="single" w:sz="6" w:space="0" w:color="000000"/>
              <w:right w:val="single" w:sz="6" w:space="0" w:color="000000"/>
            </w:tcBorders>
            <w:vAlign w:val="center"/>
            <w:hideMark/>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FB165E">
            <w:pPr>
              <w:rPr>
                <w:rFonts w:asciiTheme="minorEastAsia" w:hAnsiTheme="minorEastAsia"/>
              </w:rPr>
            </w:pPr>
            <w:r w:rsidRPr="00E00DDE">
              <w:rPr>
                <w:rFonts w:asciiTheme="minorEastAsia" w:hAnsiTheme="minorEastAsia" w:hint="eastAsia"/>
              </w:rPr>
              <w:t>足额拨付率</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FB165E">
            <w:pPr>
              <w:spacing w:line="300" w:lineRule="exact"/>
              <w:jc w:val="left"/>
              <w:rPr>
                <w:rFonts w:asciiTheme="minorEastAsia" w:hAnsiTheme="minorEastAsia"/>
              </w:rPr>
            </w:pPr>
            <w:r w:rsidRPr="00E00DDE">
              <w:rPr>
                <w:rFonts w:asciiTheme="minorEastAsia" w:hAnsiTheme="minorEastAsia" w:hint="eastAsia"/>
              </w:rPr>
              <w:t>实际拨付款项占总额的比率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FB165E">
            <w:pPr>
              <w:spacing w:line="300" w:lineRule="exact"/>
              <w:jc w:val="left"/>
              <w:rPr>
                <w:rFonts w:asciiTheme="minorEastAsia" w:hAnsiTheme="minorEastAsia"/>
              </w:rPr>
            </w:pPr>
            <w:r w:rsidRPr="00E00DDE">
              <w:rPr>
                <w:rFonts w:asciiTheme="minorEastAsia" w:hAnsiTheme="minorEastAsia"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社会效益指标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542BB4">
            <w:pPr>
              <w:rPr>
                <w:rFonts w:asciiTheme="minorEastAsia" w:hAnsiTheme="minorEastAsia"/>
              </w:rPr>
            </w:pPr>
            <w:r w:rsidRPr="00E00DDE">
              <w:rPr>
                <w:rFonts w:asciiTheme="minorEastAsia" w:hAnsiTheme="minorEastAsia" w:hint="eastAsia"/>
              </w:rPr>
              <w:t>保障新建政务服务大厅顺利开展</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542BB4">
            <w:pPr>
              <w:spacing w:line="300" w:lineRule="exact"/>
              <w:jc w:val="left"/>
              <w:rPr>
                <w:rFonts w:asciiTheme="minorEastAsia" w:hAnsiTheme="minorEastAsia"/>
              </w:rPr>
            </w:pPr>
            <w:r w:rsidRPr="00E00DDE">
              <w:rPr>
                <w:rFonts w:asciiTheme="minorEastAsia" w:hAnsiTheme="minorEastAsia" w:hint="eastAsia"/>
              </w:rPr>
              <w:t>保障新建政务服务大厅顺利开展</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542BB4" w:rsidP="00FB165E">
            <w:pPr>
              <w:rPr>
                <w:rFonts w:asciiTheme="minorEastAsia" w:hAnsiTheme="minorEastAsia"/>
              </w:rPr>
            </w:pPr>
            <w:r w:rsidRPr="00E00DDE">
              <w:rPr>
                <w:rFonts w:asciiTheme="minorEastAsia" w:hAnsiTheme="minorEastAsia" w:hint="eastAsia"/>
              </w:rPr>
              <w:t>有效</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服务对象满意度指标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办事企业群众使用满意度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调查中表示满意的数量占全部调查总人数的比率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bl>
    <w:p w:rsidR="00FB165E" w:rsidRPr="00E00DDE" w:rsidRDefault="00542BB4" w:rsidP="00E00DDE">
      <w:pPr>
        <w:ind w:firstLineChars="200" w:firstLine="560"/>
        <w:jc w:val="left"/>
        <w:outlineLvl w:val="1"/>
        <w:rPr>
          <w:rFonts w:asciiTheme="minorEastAsia" w:hAnsiTheme="minorEastAsia"/>
          <w:sz w:val="28"/>
        </w:rPr>
      </w:pPr>
      <w:r w:rsidRPr="00E00DDE">
        <w:rPr>
          <w:rFonts w:asciiTheme="minorEastAsia" w:hAnsiTheme="minorEastAsia" w:hint="eastAsia"/>
          <w:sz w:val="28"/>
        </w:rPr>
        <w:t>7、政府承担新办企业公章刻制费绩效目标表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FB165E" w:rsidRPr="00E00DDE" w:rsidTr="00FB165E">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lastRenderedPageBreak/>
              <w:t>绩效目标</w:t>
            </w:r>
          </w:p>
        </w:tc>
        <w:tc>
          <w:tcPr>
            <w:tcW w:w="11125" w:type="dxa"/>
            <w:tcBorders>
              <w:top w:val="single" w:sz="6" w:space="0" w:color="000000"/>
              <w:left w:val="single" w:sz="6" w:space="0" w:color="000000"/>
              <w:bottom w:val="nil"/>
              <w:right w:val="single" w:sz="6" w:space="0" w:color="000000"/>
            </w:tcBorders>
            <w:vAlign w:val="center"/>
          </w:tcPr>
          <w:p w:rsidR="00FB165E" w:rsidRPr="00E00DDE" w:rsidRDefault="00542BB4" w:rsidP="00FB165E">
            <w:pPr>
              <w:spacing w:line="300" w:lineRule="exact"/>
              <w:jc w:val="left"/>
              <w:rPr>
                <w:rFonts w:asciiTheme="minorEastAsia" w:hAnsiTheme="minorEastAsia"/>
              </w:rPr>
            </w:pPr>
            <w:r w:rsidRPr="00E00DDE">
              <w:rPr>
                <w:rFonts w:asciiTheme="minorEastAsia" w:hAnsiTheme="minorEastAsia" w:hint="eastAsia"/>
              </w:rPr>
              <w:t>计划免费刻章 4000 家，进一步缩减企业注册成本、简化注册流程、优化我市营商环 境，由市政府承担新办企业公章刻制费.为企业减负，实现利企、惠民。</w:t>
            </w:r>
          </w:p>
        </w:tc>
      </w:tr>
    </w:tbl>
    <w:p w:rsidR="00FB165E" w:rsidRPr="00E00DDE" w:rsidRDefault="00FB165E" w:rsidP="00FB165E">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FB165E" w:rsidRPr="00E00DDE" w:rsidTr="00FB165E">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FB165E" w:rsidRPr="00E00DDE" w:rsidTr="00FB165E">
        <w:trPr>
          <w:cantSplit/>
          <w:trHeight w:val="369"/>
          <w:jc w:val="center"/>
        </w:trPr>
        <w:tc>
          <w:tcPr>
            <w:tcW w:w="1699" w:type="dxa"/>
            <w:vMerge w:val="restart"/>
            <w:tcBorders>
              <w:top w:val="single" w:sz="6" w:space="0" w:color="000000"/>
              <w:left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每天巡察次数</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对大厅各项物业服务进行定时巡察，处理问题</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≥4次</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历史经验</w:t>
            </w:r>
          </w:p>
        </w:tc>
      </w:tr>
      <w:tr w:rsidR="00FB165E" w:rsidRPr="00E00DDE" w:rsidTr="00FB165E">
        <w:trPr>
          <w:cantSplit/>
          <w:trHeight w:val="369"/>
          <w:jc w:val="center"/>
        </w:trPr>
        <w:tc>
          <w:tcPr>
            <w:tcW w:w="1699" w:type="dxa"/>
            <w:vMerge/>
            <w:tcBorders>
              <w:left w:val="single" w:sz="6" w:space="0" w:color="000000"/>
              <w:right w:val="single" w:sz="6" w:space="0" w:color="000000"/>
            </w:tcBorders>
            <w:vAlign w:val="center"/>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保证配齐所有岗位人员数量</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按合同要求，配备物业各岗位人员数量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≥26人</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right w:val="single" w:sz="6" w:space="0" w:color="000000"/>
            </w:tcBorders>
            <w:vAlign w:val="center"/>
            <w:hideMark/>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服务考核合格率</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服务考核合格占所有考核内容的比率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bottom w:val="single" w:sz="6" w:space="0" w:color="000000"/>
              <w:right w:val="single" w:sz="6" w:space="0" w:color="000000"/>
            </w:tcBorders>
            <w:vAlign w:val="center"/>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招投标确定服务机构时间</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招投标确定服务机构时间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≤3月份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社会效益指标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提升办公服务环境</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为进入大厅办事企业群众提供优质服务环境</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服务对象满意度指标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办事企业群众使用满意度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调查中表示满意的数量占全部调查总人数的比率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bl>
    <w:p w:rsidR="00FB165E" w:rsidRPr="00E00DDE" w:rsidRDefault="0047687D" w:rsidP="00E00DDE">
      <w:pPr>
        <w:ind w:firstLineChars="200" w:firstLine="560"/>
        <w:jc w:val="left"/>
        <w:outlineLvl w:val="1"/>
        <w:rPr>
          <w:rFonts w:asciiTheme="minorEastAsia" w:hAnsiTheme="minorEastAsia"/>
          <w:sz w:val="28"/>
        </w:rPr>
      </w:pPr>
      <w:r w:rsidRPr="00E00DDE">
        <w:rPr>
          <w:rFonts w:asciiTheme="minorEastAsia" w:hAnsiTheme="minorEastAsia" w:hint="eastAsia"/>
          <w:sz w:val="28"/>
        </w:rPr>
        <w:t>8、</w:t>
      </w:r>
      <w:r w:rsidR="00337231" w:rsidRPr="00E00DDE">
        <w:rPr>
          <w:rFonts w:asciiTheme="minorEastAsia" w:hAnsiTheme="minorEastAsia" w:hint="eastAsia"/>
          <w:sz w:val="28"/>
        </w:rPr>
        <w:t>政务服务大厅设备及中央空调维修经费绩效目标表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11125"/>
      </w:tblGrid>
      <w:tr w:rsidR="00FB165E" w:rsidRPr="00E00DDE" w:rsidTr="00FB165E">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绩效目标</w:t>
            </w:r>
          </w:p>
        </w:tc>
        <w:tc>
          <w:tcPr>
            <w:tcW w:w="11125" w:type="dxa"/>
            <w:tcBorders>
              <w:top w:val="single" w:sz="6" w:space="0" w:color="000000"/>
              <w:left w:val="single" w:sz="6" w:space="0" w:color="000000"/>
              <w:bottom w:val="nil"/>
              <w:right w:val="single" w:sz="6" w:space="0" w:color="000000"/>
            </w:tcBorders>
            <w:vAlign w:val="center"/>
          </w:tcPr>
          <w:p w:rsidR="00FB165E" w:rsidRPr="00E00DDE" w:rsidRDefault="00337231" w:rsidP="00FB165E">
            <w:pPr>
              <w:spacing w:line="300" w:lineRule="exact"/>
              <w:jc w:val="left"/>
              <w:rPr>
                <w:rFonts w:asciiTheme="minorEastAsia" w:hAnsiTheme="minorEastAsia"/>
              </w:rPr>
            </w:pPr>
            <w:r w:rsidRPr="00E00DDE">
              <w:rPr>
                <w:rFonts w:asciiTheme="minorEastAsia" w:hAnsiTheme="minorEastAsia" w:hint="eastAsia"/>
              </w:rPr>
              <w:t>根据中心办公设备、设施实际损坏情况，进行及时报修，及时抢修，以确保硬件设备 设施能够长期稳定持续正常运行,为办事群众提供优质服务环境，利民、便民。</w:t>
            </w:r>
          </w:p>
        </w:tc>
      </w:tr>
    </w:tbl>
    <w:p w:rsidR="00FB165E" w:rsidRPr="00E00DDE" w:rsidRDefault="00FB165E" w:rsidP="00FB165E">
      <w:pPr>
        <w:spacing w:line="14" w:lineRule="exact"/>
        <w:ind w:firstLineChars="200" w:firstLine="420"/>
        <w:jc w:val="center"/>
        <w:rPr>
          <w:rFonts w:asciiTheme="minorEastAsia" w:hAnsiTheme="minorEastAsia"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99"/>
        <w:gridCol w:w="2127"/>
        <w:gridCol w:w="2835"/>
        <w:gridCol w:w="3184"/>
        <w:gridCol w:w="1275"/>
        <w:gridCol w:w="1700"/>
      </w:tblGrid>
      <w:tr w:rsidR="00FB165E" w:rsidRPr="00E00DDE" w:rsidTr="00FB165E">
        <w:trPr>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指标值确定依据</w:t>
            </w:r>
          </w:p>
        </w:tc>
      </w:tr>
      <w:tr w:rsidR="00FB165E" w:rsidRPr="00E00DDE" w:rsidTr="00FB165E">
        <w:trPr>
          <w:cantSplit/>
          <w:trHeight w:val="369"/>
          <w:jc w:val="center"/>
        </w:trPr>
        <w:tc>
          <w:tcPr>
            <w:tcW w:w="1699" w:type="dxa"/>
            <w:vMerge w:val="restart"/>
            <w:tcBorders>
              <w:top w:val="single" w:sz="6" w:space="0" w:color="000000"/>
              <w:left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spacing w:line="300" w:lineRule="exact"/>
              <w:jc w:val="left"/>
              <w:rPr>
                <w:rFonts w:asciiTheme="minorEastAsia" w:hAnsiTheme="minorEastAsia"/>
              </w:rPr>
            </w:pPr>
            <w:r w:rsidRPr="00E00DDE">
              <w:rPr>
                <w:rFonts w:asciiTheme="minorEastAsia" w:hAnsiTheme="minorEastAsia" w:hint="eastAsia"/>
              </w:rPr>
              <w:t>质</w:t>
            </w:r>
            <w:r w:rsidR="00FB165E" w:rsidRPr="00E00DDE">
              <w:rPr>
                <w:rFonts w:asciiTheme="minorEastAsia" w:hAnsiTheme="minorEastAsia" w:hint="eastAsia"/>
              </w:rPr>
              <w:t>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337231" w:rsidP="00FB165E">
            <w:pPr>
              <w:spacing w:line="300" w:lineRule="exact"/>
              <w:jc w:val="left"/>
              <w:rPr>
                <w:rFonts w:asciiTheme="minorEastAsia" w:hAnsiTheme="minorEastAsia"/>
              </w:rPr>
            </w:pPr>
            <w:r w:rsidRPr="00E00DDE">
              <w:rPr>
                <w:rFonts w:asciiTheme="minorEastAsia" w:hAnsiTheme="minorEastAsia" w:hint="eastAsia"/>
              </w:rPr>
              <w:t>未及时维修次数（次）</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337231" w:rsidP="00FB165E">
            <w:pPr>
              <w:spacing w:line="300" w:lineRule="exact"/>
              <w:jc w:val="left"/>
              <w:rPr>
                <w:rFonts w:asciiTheme="minorEastAsia" w:hAnsiTheme="minorEastAsia"/>
              </w:rPr>
            </w:pPr>
            <w:r w:rsidRPr="00E00DDE">
              <w:rPr>
                <w:rFonts w:asciiTheme="minorEastAsia" w:hAnsiTheme="minorEastAsia" w:hint="eastAsia"/>
              </w:rPr>
              <w:t>报修后，维修不及时次数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337231" w:rsidP="00FB165E">
            <w:pPr>
              <w:spacing w:line="300" w:lineRule="exact"/>
              <w:jc w:val="left"/>
              <w:rPr>
                <w:rFonts w:asciiTheme="minorEastAsia" w:hAnsiTheme="minorEastAsia"/>
              </w:rPr>
            </w:pPr>
            <w:r w:rsidRPr="00E00DDE">
              <w:rPr>
                <w:rFonts w:asciiTheme="minorEastAsia" w:hAnsiTheme="minorEastAsia" w:hint="eastAsia"/>
              </w:rPr>
              <w:t>≤5次</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历史经验</w:t>
            </w:r>
          </w:p>
        </w:tc>
      </w:tr>
      <w:tr w:rsidR="00FB165E" w:rsidRPr="00E00DDE" w:rsidTr="00FB165E">
        <w:trPr>
          <w:cantSplit/>
          <w:trHeight w:val="369"/>
          <w:jc w:val="center"/>
        </w:trPr>
        <w:tc>
          <w:tcPr>
            <w:tcW w:w="1699" w:type="dxa"/>
            <w:vMerge/>
            <w:tcBorders>
              <w:left w:val="single" w:sz="6" w:space="0" w:color="000000"/>
              <w:right w:val="single" w:sz="6" w:space="0" w:color="000000"/>
            </w:tcBorders>
            <w:vAlign w:val="center"/>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spacing w:line="300" w:lineRule="exact"/>
              <w:jc w:val="left"/>
              <w:rPr>
                <w:rFonts w:asciiTheme="minorEastAsia" w:hAnsiTheme="minorEastAsia"/>
              </w:rPr>
            </w:pPr>
            <w:r w:rsidRPr="00E00DDE">
              <w:rPr>
                <w:rFonts w:asciiTheme="minorEastAsia" w:hAnsiTheme="minorEastAsia" w:hint="eastAsia"/>
              </w:rPr>
              <w:t>数</w:t>
            </w:r>
            <w:r w:rsidR="00FB165E" w:rsidRPr="00E00DDE">
              <w:rPr>
                <w:rFonts w:asciiTheme="minorEastAsia" w:hAnsiTheme="minorEastAsia" w:hint="eastAsia"/>
              </w:rPr>
              <w:t>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A74EA9">
            <w:pPr>
              <w:rPr>
                <w:rFonts w:asciiTheme="minorEastAsia" w:hAnsiTheme="minorEastAsia"/>
              </w:rPr>
            </w:pPr>
            <w:r w:rsidRPr="00E00DDE">
              <w:rPr>
                <w:rFonts w:asciiTheme="minorEastAsia" w:hAnsiTheme="minorEastAsia" w:hint="eastAsia"/>
              </w:rPr>
              <w:t>进行维修范围</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spacing w:line="300" w:lineRule="exact"/>
              <w:jc w:val="left"/>
              <w:rPr>
                <w:rFonts w:asciiTheme="minorEastAsia" w:hAnsiTheme="minorEastAsia"/>
              </w:rPr>
            </w:pPr>
            <w:r w:rsidRPr="00E00DDE">
              <w:rPr>
                <w:rFonts w:asciiTheme="minorEastAsia" w:hAnsiTheme="minorEastAsia" w:hint="eastAsia"/>
              </w:rPr>
              <w:t>在政务服务中心维修范围面积</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spacing w:line="300" w:lineRule="exact"/>
              <w:jc w:val="left"/>
              <w:rPr>
                <w:rFonts w:asciiTheme="minorEastAsia" w:hAnsiTheme="minorEastAsia"/>
              </w:rPr>
            </w:pPr>
            <w:r w:rsidRPr="00E00DDE">
              <w:rPr>
                <w:rFonts w:asciiTheme="minorEastAsia" w:hAnsiTheme="minorEastAsia" w:hint="eastAsia"/>
              </w:rPr>
              <w:t>8616.9平方米</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right w:val="single" w:sz="6" w:space="0" w:color="000000"/>
            </w:tcBorders>
            <w:vAlign w:val="center"/>
            <w:hideMark/>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A74EA9">
            <w:pPr>
              <w:rPr>
                <w:rFonts w:asciiTheme="minorEastAsia" w:hAnsiTheme="minorEastAsia"/>
              </w:rPr>
            </w:pPr>
            <w:r w:rsidRPr="00E00DDE">
              <w:rPr>
                <w:rFonts w:asciiTheme="minorEastAsia" w:hAnsiTheme="minorEastAsia" w:hint="eastAsia"/>
              </w:rPr>
              <w:t>设备维修后正常使用情况</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A74EA9">
            <w:pPr>
              <w:spacing w:line="300" w:lineRule="exact"/>
              <w:jc w:val="left"/>
              <w:rPr>
                <w:rFonts w:asciiTheme="minorEastAsia" w:hAnsiTheme="minorEastAsia"/>
              </w:rPr>
            </w:pPr>
            <w:r w:rsidRPr="00E00DDE">
              <w:rPr>
                <w:rFonts w:asciiTheme="minorEastAsia" w:hAnsiTheme="minorEastAsia" w:hint="eastAsia"/>
              </w:rPr>
              <w:t>设备维修后是否满足正常使用需求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spacing w:line="300" w:lineRule="exact"/>
              <w:jc w:val="left"/>
              <w:rPr>
                <w:rFonts w:asciiTheme="minorEastAsia" w:hAnsiTheme="minorEastAsia"/>
              </w:rPr>
            </w:pPr>
            <w:r w:rsidRPr="00E00DDE">
              <w:rPr>
                <w:rFonts w:asciiTheme="minorEastAsia" w:hAnsiTheme="minorEastAsia" w:hint="eastAsia"/>
              </w:rPr>
              <w:t>满足</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vMerge/>
            <w:tcBorders>
              <w:left w:val="single" w:sz="6" w:space="0" w:color="000000"/>
              <w:bottom w:val="single" w:sz="6" w:space="0" w:color="000000"/>
              <w:right w:val="single" w:sz="6" w:space="0" w:color="000000"/>
            </w:tcBorders>
            <w:vAlign w:val="center"/>
          </w:tcPr>
          <w:p w:rsidR="00FB165E" w:rsidRPr="00E00DDE" w:rsidRDefault="00FB165E" w:rsidP="00FB165E">
            <w:pPr>
              <w:widowControl/>
              <w:jc w:val="left"/>
              <w:rPr>
                <w:rFonts w:asciiTheme="minorEastAsia" w:hAnsiTheme="minorEastAsia"/>
                <w:szCs w:val="24"/>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spacing w:line="300" w:lineRule="exact"/>
              <w:jc w:val="left"/>
              <w:rPr>
                <w:rFonts w:asciiTheme="minorEastAsia" w:hAnsiTheme="minorEastAsia"/>
              </w:rPr>
            </w:pPr>
            <w:r w:rsidRPr="00E00DDE">
              <w:rPr>
                <w:rFonts w:asciiTheme="minorEastAsia" w:hAnsiTheme="minorEastAsia" w:hint="eastAsia"/>
              </w:rPr>
              <w:t>质量</w:t>
            </w:r>
            <w:r w:rsidR="00FB165E" w:rsidRPr="00E00DDE">
              <w:rPr>
                <w:rFonts w:asciiTheme="minorEastAsia" w:hAnsiTheme="minorEastAsia" w:hint="eastAsia"/>
              </w:rPr>
              <w:t>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A74EA9">
            <w:pPr>
              <w:rPr>
                <w:rFonts w:asciiTheme="minorEastAsia" w:hAnsiTheme="minorEastAsia"/>
              </w:rPr>
            </w:pPr>
            <w:r w:rsidRPr="00E00DDE">
              <w:rPr>
                <w:rFonts w:asciiTheme="minorEastAsia" w:hAnsiTheme="minorEastAsia" w:hint="eastAsia"/>
              </w:rPr>
              <w:t>验收合格率</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rPr>
                <w:rFonts w:asciiTheme="minorEastAsia" w:hAnsiTheme="minorEastAsia"/>
              </w:rPr>
            </w:pPr>
            <w:r w:rsidRPr="00E00DDE">
              <w:rPr>
                <w:rFonts w:asciiTheme="minorEastAsia" w:hAnsiTheme="minorEastAsia" w:hint="eastAsia"/>
              </w:rPr>
              <w:t>验收通过的数量占所有维修项目的比率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社会效益指标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rPr>
                <w:rFonts w:asciiTheme="minorEastAsia" w:hAnsiTheme="minorEastAsia"/>
              </w:rPr>
            </w:pPr>
            <w:r w:rsidRPr="00E00DDE">
              <w:rPr>
                <w:rFonts w:asciiTheme="minorEastAsia" w:hAnsiTheme="minorEastAsia" w:hint="eastAsia"/>
              </w:rPr>
              <w:t>设备设施正常运转率</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A74EA9">
            <w:pPr>
              <w:spacing w:line="300" w:lineRule="exact"/>
              <w:jc w:val="left"/>
              <w:rPr>
                <w:rFonts w:asciiTheme="minorEastAsia" w:hAnsiTheme="minorEastAsia"/>
              </w:rPr>
            </w:pPr>
            <w:r w:rsidRPr="00E00DDE">
              <w:rPr>
                <w:rFonts w:asciiTheme="minorEastAsia" w:hAnsiTheme="minorEastAsia" w:hint="eastAsia"/>
              </w:rPr>
              <w:t>维修正常运转的设备设施占所有设备的比率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A74EA9" w:rsidP="00FB165E">
            <w:pPr>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r w:rsidR="00FB165E" w:rsidRPr="00E00DDE" w:rsidTr="00FB165E">
        <w:trPr>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FB165E" w:rsidRPr="00E00DDE" w:rsidRDefault="00FB165E" w:rsidP="00FB165E">
            <w:pPr>
              <w:spacing w:line="300" w:lineRule="exact"/>
              <w:jc w:val="center"/>
              <w:rPr>
                <w:rFonts w:asciiTheme="minorEastAsia" w:hAnsiTheme="minorEastAsia"/>
              </w:rPr>
            </w:pPr>
            <w:r w:rsidRPr="00E00DDE">
              <w:rPr>
                <w:rFonts w:asciiTheme="minorEastAsia" w:hAnsiTheme="minorEastAsia" w:hint="eastAsia"/>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 xml:space="preserve">服务对象满意度指标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办事企业群众使用满意度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rPr>
                <w:rFonts w:asciiTheme="minorEastAsia" w:hAnsiTheme="minorEastAsia"/>
              </w:rPr>
            </w:pPr>
            <w:r w:rsidRPr="00E00DDE">
              <w:rPr>
                <w:rFonts w:asciiTheme="minorEastAsia" w:hAnsiTheme="minorEastAsia" w:hint="eastAsia"/>
              </w:rPr>
              <w:t>调查中表示满意的数量占全部调查总人数的比率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B165E" w:rsidRPr="00E00DDE" w:rsidRDefault="00FB165E" w:rsidP="00FB165E">
            <w:pPr>
              <w:spacing w:line="300" w:lineRule="exact"/>
              <w:jc w:val="left"/>
              <w:rPr>
                <w:rFonts w:asciiTheme="minorEastAsia" w:hAnsiTheme="minorEastAsia"/>
              </w:rPr>
            </w:pPr>
            <w:r w:rsidRPr="00E00DDE">
              <w:rPr>
                <w:rFonts w:asciiTheme="minorEastAsia" w:hAnsiTheme="minorEastAsia" w:hint="eastAsia"/>
              </w:rPr>
              <w:t>计划标准</w:t>
            </w:r>
          </w:p>
        </w:tc>
      </w:tr>
    </w:tbl>
    <w:p w:rsidR="00E00DDE" w:rsidRPr="00C56175" w:rsidRDefault="00A74EA9" w:rsidP="00C56175">
      <w:pPr>
        <w:ind w:firstLineChars="200" w:firstLine="560"/>
        <w:jc w:val="left"/>
        <w:outlineLvl w:val="1"/>
        <w:rPr>
          <w:rFonts w:asciiTheme="minorEastAsia" w:hAnsiTheme="minorEastAsia"/>
          <w:sz w:val="28"/>
        </w:rPr>
      </w:pPr>
      <w:r w:rsidRPr="00C56175">
        <w:rPr>
          <w:rFonts w:asciiTheme="minorEastAsia" w:hAnsiTheme="minorEastAsia" w:hint="eastAsia"/>
          <w:sz w:val="28"/>
        </w:rPr>
        <w:t>9、</w:t>
      </w:r>
      <w:r w:rsidRPr="00E00DDE">
        <w:rPr>
          <w:rFonts w:asciiTheme="minorEastAsia" w:hAnsiTheme="minorEastAsia" w:hint="eastAsia"/>
          <w:sz w:val="28"/>
        </w:rPr>
        <w:t xml:space="preserve">政务服务平台软硬件运行维护经费绩效目标表 </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3"/>
        <w:gridCol w:w="2126"/>
        <w:gridCol w:w="2834"/>
        <w:gridCol w:w="3183"/>
        <w:gridCol w:w="1275"/>
        <w:gridCol w:w="1699"/>
        <w:gridCol w:w="8"/>
      </w:tblGrid>
      <w:tr w:rsidR="00A74EA9" w:rsidRPr="00E00DDE" w:rsidTr="00E00DDE">
        <w:trPr>
          <w:trHeight w:val="369"/>
          <w:jc w:val="center"/>
        </w:trPr>
        <w:tc>
          <w:tcPr>
            <w:tcW w:w="1703" w:type="dxa"/>
            <w:tcBorders>
              <w:top w:val="single" w:sz="6" w:space="0" w:color="000000"/>
              <w:left w:val="single" w:sz="6" w:space="0" w:color="000000"/>
              <w:bottom w:val="nil"/>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绩效目标</w:t>
            </w:r>
          </w:p>
        </w:tc>
        <w:tc>
          <w:tcPr>
            <w:tcW w:w="11125" w:type="dxa"/>
            <w:gridSpan w:val="6"/>
            <w:tcBorders>
              <w:top w:val="single" w:sz="6" w:space="0" w:color="000000"/>
              <w:left w:val="single" w:sz="6" w:space="0" w:color="000000"/>
              <w:bottom w:val="nil"/>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1、硬件设备能够长期稳定持续正常运行 2、政务服务软件能够正常运行，数据支持充分保障 3、软件、硬件设备日常维护、紧急情况及时有效处理</w:t>
            </w:r>
          </w:p>
        </w:tc>
      </w:tr>
      <w:tr w:rsidR="00A74EA9" w:rsidRPr="00E00DDE" w:rsidTr="00E00DDE">
        <w:trPr>
          <w:gridAfter w:val="1"/>
          <w:wAfter w:w="8" w:type="dxa"/>
          <w:cantSplit/>
          <w:trHeight w:val="397"/>
          <w:tblHeader/>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一级指标</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三级指标</w:t>
            </w:r>
          </w:p>
        </w:tc>
        <w:tc>
          <w:tcPr>
            <w:tcW w:w="3184"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指标值</w:t>
            </w:r>
          </w:p>
        </w:tc>
        <w:tc>
          <w:tcPr>
            <w:tcW w:w="1700"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指标值确定依据</w:t>
            </w:r>
          </w:p>
        </w:tc>
      </w:tr>
      <w:tr w:rsidR="00A74EA9" w:rsidRPr="00E00DDE" w:rsidTr="00E00DDE">
        <w:trPr>
          <w:gridAfter w:val="1"/>
          <w:wAfter w:w="8" w:type="dxa"/>
          <w:cantSplit/>
          <w:trHeight w:val="369"/>
          <w:jc w:val="center"/>
        </w:trPr>
        <w:tc>
          <w:tcPr>
            <w:tcW w:w="1699" w:type="dxa"/>
            <w:vMerge w:val="restart"/>
            <w:tcBorders>
              <w:top w:val="single" w:sz="6" w:space="0" w:color="000000"/>
              <w:left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产出指标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软件零宕机（不可抗力除外）</w:t>
            </w:r>
          </w:p>
        </w:tc>
        <w:tc>
          <w:tcPr>
            <w:tcW w:w="3184"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除不可抗力，正常停电等情况 外，软件不稳定运行次数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0次</w:t>
            </w:r>
          </w:p>
        </w:tc>
        <w:tc>
          <w:tcPr>
            <w:tcW w:w="1700"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历史经验</w:t>
            </w:r>
          </w:p>
        </w:tc>
      </w:tr>
      <w:tr w:rsidR="00A74EA9" w:rsidRPr="00E00DDE" w:rsidTr="00E00DDE">
        <w:trPr>
          <w:gridAfter w:val="1"/>
          <w:wAfter w:w="8" w:type="dxa"/>
          <w:cantSplit/>
          <w:trHeight w:val="369"/>
          <w:jc w:val="center"/>
        </w:trPr>
        <w:tc>
          <w:tcPr>
            <w:tcW w:w="1699" w:type="dxa"/>
            <w:vMerge/>
            <w:tcBorders>
              <w:left w:val="single" w:sz="6" w:space="0" w:color="000000"/>
              <w:right w:val="single" w:sz="6" w:space="0" w:color="000000"/>
            </w:tcBorders>
            <w:vAlign w:val="center"/>
          </w:tcPr>
          <w:p w:rsidR="00A74EA9" w:rsidRPr="00E00DDE" w:rsidRDefault="00A74EA9" w:rsidP="00D374B9">
            <w:pPr>
              <w:widowControl/>
              <w:jc w:val="left"/>
              <w:rPr>
                <w:rFonts w:asciiTheme="minorEastAsia" w:hAnsiTheme="minorEastAsia" w:cs="宋体"/>
                <w:kern w:val="0"/>
                <w:sz w:val="22"/>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硬件设备零宕机（不可抗力除外）</w:t>
            </w:r>
          </w:p>
        </w:tc>
        <w:tc>
          <w:tcPr>
            <w:tcW w:w="3184"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除不可抗力，正常停电等情况除外，硬件故障次数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0个</w:t>
            </w:r>
          </w:p>
        </w:tc>
        <w:tc>
          <w:tcPr>
            <w:tcW w:w="1700"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计划标准</w:t>
            </w:r>
          </w:p>
        </w:tc>
      </w:tr>
      <w:tr w:rsidR="00A74EA9" w:rsidRPr="00E00DDE" w:rsidTr="00E00DDE">
        <w:trPr>
          <w:gridAfter w:val="1"/>
          <w:wAfter w:w="8" w:type="dxa"/>
          <w:cantSplit/>
          <w:trHeight w:val="369"/>
          <w:jc w:val="center"/>
        </w:trPr>
        <w:tc>
          <w:tcPr>
            <w:tcW w:w="1699" w:type="dxa"/>
            <w:vMerge/>
            <w:tcBorders>
              <w:left w:val="single" w:sz="6" w:space="0" w:color="000000"/>
              <w:right w:val="single" w:sz="6" w:space="0" w:color="000000"/>
            </w:tcBorders>
            <w:vAlign w:val="center"/>
            <w:hideMark/>
          </w:tcPr>
          <w:p w:rsidR="00A74EA9" w:rsidRPr="00E00DDE" w:rsidRDefault="00A74EA9" w:rsidP="00D374B9">
            <w:pPr>
              <w:widowControl/>
              <w:jc w:val="left"/>
              <w:rPr>
                <w:rFonts w:asciiTheme="minorEastAsia" w:hAnsiTheme="minorEastAsia" w:cs="宋体"/>
                <w:kern w:val="0"/>
                <w:sz w:val="22"/>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保障平台正常运行情况</w:t>
            </w:r>
          </w:p>
        </w:tc>
        <w:tc>
          <w:tcPr>
            <w:tcW w:w="3184"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平台是否无间断，持续运行</w:t>
            </w:r>
          </w:p>
        </w:tc>
        <w:tc>
          <w:tcPr>
            <w:tcW w:w="127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是否正常运行</w:t>
            </w:r>
          </w:p>
        </w:tc>
        <w:tc>
          <w:tcPr>
            <w:tcW w:w="1700"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计划标准</w:t>
            </w:r>
          </w:p>
        </w:tc>
      </w:tr>
      <w:tr w:rsidR="00A74EA9" w:rsidRPr="00E00DDE" w:rsidTr="00E00DDE">
        <w:trPr>
          <w:gridAfter w:val="1"/>
          <w:wAfter w:w="8" w:type="dxa"/>
          <w:cantSplit/>
          <w:trHeight w:val="369"/>
          <w:jc w:val="center"/>
        </w:trPr>
        <w:tc>
          <w:tcPr>
            <w:tcW w:w="1699" w:type="dxa"/>
            <w:vMerge/>
            <w:tcBorders>
              <w:left w:val="single" w:sz="6" w:space="0" w:color="000000"/>
              <w:bottom w:val="single" w:sz="6" w:space="0" w:color="000000"/>
              <w:right w:val="single" w:sz="6" w:space="0" w:color="000000"/>
            </w:tcBorders>
            <w:vAlign w:val="center"/>
          </w:tcPr>
          <w:p w:rsidR="00A74EA9" w:rsidRPr="00E00DDE" w:rsidRDefault="00A74EA9" w:rsidP="00D374B9">
            <w:pPr>
              <w:widowControl/>
              <w:jc w:val="left"/>
              <w:rPr>
                <w:rFonts w:asciiTheme="minorEastAsia" w:hAnsiTheme="minorEastAsia" w:cs="宋体"/>
                <w:kern w:val="0"/>
                <w:sz w:val="22"/>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紧急事件应急处理情况</w:t>
            </w:r>
          </w:p>
        </w:tc>
        <w:tc>
          <w:tcPr>
            <w:tcW w:w="3184"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紧急事件应急处理时效</w:t>
            </w:r>
          </w:p>
        </w:tc>
        <w:tc>
          <w:tcPr>
            <w:tcW w:w="127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≤4</w:t>
            </w:r>
          </w:p>
        </w:tc>
        <w:tc>
          <w:tcPr>
            <w:tcW w:w="1700"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计划标准</w:t>
            </w:r>
          </w:p>
        </w:tc>
      </w:tr>
      <w:tr w:rsidR="00A74EA9" w:rsidRPr="00E00DDE" w:rsidTr="00E00DDE">
        <w:trPr>
          <w:gridAfter w:val="1"/>
          <w:wAfter w:w="8" w:type="dxa"/>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效果指标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 xml:space="preserve">社会效益指标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保障群众网上业务办理情况</w:t>
            </w:r>
          </w:p>
        </w:tc>
        <w:tc>
          <w:tcPr>
            <w:tcW w:w="3184"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群众是否可以在网上办理业务</w:t>
            </w:r>
          </w:p>
        </w:tc>
        <w:tc>
          <w:tcPr>
            <w:tcW w:w="127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是否得到保障</w:t>
            </w:r>
          </w:p>
        </w:tc>
        <w:tc>
          <w:tcPr>
            <w:tcW w:w="1700"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计划标准</w:t>
            </w:r>
          </w:p>
        </w:tc>
      </w:tr>
      <w:tr w:rsidR="00A74EA9" w:rsidRPr="00E00DDE" w:rsidTr="00E00DDE">
        <w:trPr>
          <w:gridAfter w:val="1"/>
          <w:wAfter w:w="8" w:type="dxa"/>
          <w:cantSplit/>
          <w:trHeight w:val="369"/>
          <w:jc w:val="center"/>
        </w:trPr>
        <w:tc>
          <w:tcPr>
            <w:tcW w:w="1699" w:type="dxa"/>
            <w:tcBorders>
              <w:top w:val="single" w:sz="6" w:space="0" w:color="000000"/>
              <w:left w:val="single" w:sz="6" w:space="0" w:color="000000"/>
              <w:bottom w:val="single" w:sz="6" w:space="0" w:color="000000"/>
              <w:right w:val="single" w:sz="6" w:space="0" w:color="000000"/>
            </w:tcBorders>
            <w:vAlign w:val="center"/>
            <w:hideMark/>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满意度指标</w:t>
            </w:r>
          </w:p>
        </w:tc>
        <w:tc>
          <w:tcPr>
            <w:tcW w:w="2127"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 xml:space="preserve">服务对象满意度指标 </w:t>
            </w:r>
          </w:p>
        </w:tc>
        <w:tc>
          <w:tcPr>
            <w:tcW w:w="283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办事企业群众使用满意度</w:t>
            </w:r>
          </w:p>
        </w:tc>
        <w:tc>
          <w:tcPr>
            <w:tcW w:w="3184"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调查中表示满意的数量占全部调查总人数的比率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≥90%</w:t>
            </w:r>
          </w:p>
        </w:tc>
        <w:tc>
          <w:tcPr>
            <w:tcW w:w="1700" w:type="dxa"/>
            <w:tcBorders>
              <w:top w:val="single" w:sz="6" w:space="0" w:color="000000"/>
              <w:left w:val="single" w:sz="6" w:space="0" w:color="000000"/>
              <w:bottom w:val="single" w:sz="6" w:space="0" w:color="000000"/>
              <w:right w:val="single" w:sz="6" w:space="0" w:color="000000"/>
            </w:tcBorders>
            <w:vAlign w:val="center"/>
          </w:tcPr>
          <w:p w:rsidR="00A74EA9" w:rsidRPr="00E00DDE" w:rsidRDefault="00A74EA9" w:rsidP="00FF5E6B">
            <w:pPr>
              <w:widowControl/>
              <w:jc w:val="left"/>
              <w:rPr>
                <w:rFonts w:asciiTheme="minorEastAsia" w:hAnsiTheme="minorEastAsia" w:cs="宋体"/>
                <w:kern w:val="0"/>
                <w:sz w:val="22"/>
              </w:rPr>
            </w:pPr>
            <w:r w:rsidRPr="00E00DDE">
              <w:rPr>
                <w:rFonts w:asciiTheme="minorEastAsia" w:hAnsiTheme="minorEastAsia" w:cs="宋体" w:hint="eastAsia"/>
                <w:kern w:val="0"/>
                <w:sz w:val="22"/>
              </w:rPr>
              <w:t>计划标准</w:t>
            </w:r>
          </w:p>
        </w:tc>
      </w:tr>
    </w:tbl>
    <w:p w:rsidR="00F66032" w:rsidRPr="00925753" w:rsidRDefault="00F66032" w:rsidP="000B6A65">
      <w:pPr>
        <w:ind w:firstLineChars="200" w:firstLine="640"/>
        <w:rPr>
          <w:rFonts w:ascii="黑体" w:eastAsia="黑体" w:hAnsi="黑体" w:cs="Times New Roman"/>
          <w:sz w:val="32"/>
          <w:szCs w:val="32"/>
        </w:rPr>
      </w:pPr>
      <w:r w:rsidRPr="00925753">
        <w:rPr>
          <w:rFonts w:ascii="黑体" w:eastAsia="黑体" w:hAnsi="黑体" w:cs="Times New Roman" w:hint="eastAsia"/>
          <w:sz w:val="32"/>
          <w:szCs w:val="32"/>
        </w:rPr>
        <w:lastRenderedPageBreak/>
        <w:t>六、政府采购预算情况</w:t>
      </w:r>
    </w:p>
    <w:p w:rsidR="00A72D2E" w:rsidRPr="008D3E3A" w:rsidRDefault="003C3A51" w:rsidP="00D013EB">
      <w:pPr>
        <w:ind w:firstLineChars="200" w:firstLine="640"/>
        <w:rPr>
          <w:rFonts w:ascii="仿宋_GB2312" w:eastAsia="仿宋_GB2312" w:hAnsi="Times New Roman" w:cs="Times New Roman"/>
          <w:color w:val="000000" w:themeColor="text1"/>
          <w:sz w:val="32"/>
          <w:szCs w:val="32"/>
        </w:rPr>
      </w:pPr>
      <w:bookmarkStart w:id="3" w:name="_Toc471398468"/>
      <w:r w:rsidRPr="008D3E3A">
        <w:rPr>
          <w:rFonts w:ascii="仿宋_GB2312" w:eastAsia="仿宋_GB2312" w:hAnsi="Times New Roman" w:cs="Times New Roman" w:hint="eastAsia"/>
          <w:color w:val="000000" w:themeColor="text1"/>
          <w:sz w:val="32"/>
          <w:szCs w:val="32"/>
        </w:rPr>
        <w:t>20</w:t>
      </w:r>
      <w:r w:rsidR="007C159D" w:rsidRPr="008D3E3A">
        <w:rPr>
          <w:rFonts w:ascii="仿宋_GB2312" w:eastAsia="仿宋_GB2312" w:hAnsi="Times New Roman" w:cs="Times New Roman"/>
          <w:color w:val="000000" w:themeColor="text1"/>
          <w:sz w:val="32"/>
          <w:szCs w:val="32"/>
        </w:rPr>
        <w:t>20</w:t>
      </w:r>
      <w:r w:rsidR="00A72D2E" w:rsidRPr="008D3E3A">
        <w:rPr>
          <w:rFonts w:ascii="仿宋_GB2312" w:eastAsia="仿宋_GB2312" w:hAnsi="Times New Roman" w:cs="Times New Roman" w:hint="eastAsia"/>
          <w:color w:val="000000" w:themeColor="text1"/>
          <w:sz w:val="32"/>
          <w:szCs w:val="32"/>
        </w:rPr>
        <w:t>年，我</w:t>
      </w:r>
      <w:r w:rsidR="00A44217" w:rsidRPr="008D3E3A">
        <w:rPr>
          <w:rFonts w:ascii="仿宋_GB2312" w:eastAsia="仿宋_GB2312" w:hAnsi="Times New Roman" w:cs="Times New Roman" w:hint="eastAsia"/>
          <w:color w:val="000000" w:themeColor="text1"/>
          <w:sz w:val="32"/>
          <w:szCs w:val="32"/>
        </w:rPr>
        <w:t>部门</w:t>
      </w:r>
      <w:r w:rsidR="00B75216" w:rsidRPr="008D3E3A">
        <w:rPr>
          <w:rFonts w:ascii="仿宋_GB2312" w:eastAsia="仿宋_GB2312" w:hAnsi="Times New Roman" w:cs="Times New Roman" w:hint="eastAsia"/>
          <w:color w:val="000000" w:themeColor="text1"/>
          <w:sz w:val="32"/>
          <w:szCs w:val="32"/>
        </w:rPr>
        <w:t>安排</w:t>
      </w:r>
      <w:r w:rsidR="00A72D2E" w:rsidRPr="008D3E3A">
        <w:rPr>
          <w:rFonts w:ascii="仿宋_GB2312" w:eastAsia="仿宋_GB2312" w:hAnsi="Times New Roman" w:cs="Times New Roman" w:hint="eastAsia"/>
          <w:color w:val="000000" w:themeColor="text1"/>
          <w:sz w:val="32"/>
          <w:szCs w:val="32"/>
        </w:rPr>
        <w:t>政府采购预算</w:t>
      </w:r>
      <w:r w:rsidR="008D3E3A" w:rsidRPr="008D3E3A">
        <w:rPr>
          <w:rFonts w:ascii="仿宋_GB2312" w:eastAsia="仿宋_GB2312" w:hAnsi="Times New Roman" w:cs="Times New Roman" w:hint="eastAsia"/>
          <w:color w:val="000000" w:themeColor="text1"/>
          <w:sz w:val="32"/>
          <w:szCs w:val="32"/>
        </w:rPr>
        <w:t>580.97</w:t>
      </w:r>
      <w:r w:rsidR="00B75216" w:rsidRPr="008D3E3A">
        <w:rPr>
          <w:rFonts w:ascii="仿宋_GB2312" w:eastAsia="仿宋_GB2312" w:hAnsi="Times New Roman" w:cs="Times New Roman" w:hint="eastAsia"/>
          <w:color w:val="000000" w:themeColor="text1"/>
          <w:sz w:val="32"/>
          <w:szCs w:val="32"/>
        </w:rPr>
        <w:t>万元。具体内容见下表。</w:t>
      </w:r>
    </w:p>
    <w:p w:rsidR="001245BB" w:rsidRPr="001245BB" w:rsidRDefault="001245BB" w:rsidP="001245BB">
      <w:pPr>
        <w:jc w:val="center"/>
        <w:outlineLvl w:val="0"/>
        <w:rPr>
          <w:rFonts w:ascii="方正小标宋_GBK" w:eastAsia="方正小标宋_GBK" w:hAnsi="Times New Roman" w:cs="Times New Roman"/>
          <w:sz w:val="32"/>
          <w:szCs w:val="24"/>
        </w:rPr>
      </w:pPr>
      <w:r w:rsidRPr="001245BB">
        <w:rPr>
          <w:rFonts w:ascii="方正小标宋_GBK" w:eastAsia="方正小标宋_GBK" w:hAnsi="Times New Roman" w:cs="Times New Roman" w:hint="eastAsia"/>
          <w:sz w:val="32"/>
          <w:szCs w:val="24"/>
        </w:rPr>
        <w:t>部门政府采购预算</w:t>
      </w:r>
      <w:bookmarkEnd w:id="3"/>
    </w:p>
    <w:tbl>
      <w:tblPr>
        <w:tblW w:w="499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390"/>
        <w:gridCol w:w="1068"/>
        <w:gridCol w:w="878"/>
        <w:gridCol w:w="1399"/>
        <w:gridCol w:w="878"/>
        <w:gridCol w:w="878"/>
        <w:gridCol w:w="904"/>
        <w:gridCol w:w="898"/>
        <w:gridCol w:w="898"/>
        <w:gridCol w:w="898"/>
        <w:gridCol w:w="819"/>
        <w:gridCol w:w="881"/>
        <w:gridCol w:w="884"/>
        <w:gridCol w:w="490"/>
      </w:tblGrid>
      <w:tr w:rsidR="001245BB" w:rsidRPr="00E00DDE" w:rsidTr="008D3E3A">
        <w:trPr>
          <w:tblHeader/>
          <w:jc w:val="center"/>
        </w:trPr>
        <w:tc>
          <w:tcPr>
            <w:tcW w:w="2964" w:type="pct"/>
            <w:gridSpan w:val="7"/>
            <w:tcBorders>
              <w:top w:val="single" w:sz="6" w:space="0" w:color="FFFFFF"/>
              <w:left w:val="single" w:sz="6" w:space="0" w:color="FFFFFF"/>
              <w:right w:val="single" w:sz="6" w:space="0" w:color="FFFFFF"/>
            </w:tcBorders>
            <w:shd w:val="clear" w:color="auto" w:fill="auto"/>
            <w:vAlign w:val="center"/>
          </w:tcPr>
          <w:p w:rsidR="001245BB" w:rsidRPr="00E00DDE" w:rsidRDefault="008D3E3A" w:rsidP="00E00DDE">
            <w:pPr>
              <w:widowControl/>
              <w:jc w:val="left"/>
              <w:rPr>
                <w:rFonts w:asciiTheme="majorEastAsia" w:eastAsiaTheme="majorEastAsia" w:hAnsiTheme="majorEastAsia" w:cs="Times New Roman"/>
                <w:sz w:val="24"/>
                <w:szCs w:val="24"/>
              </w:rPr>
            </w:pPr>
            <w:r w:rsidRPr="00E00DDE">
              <w:rPr>
                <w:rFonts w:ascii="宋体" w:eastAsia="宋体" w:hAnsi="宋体" w:cs="宋体" w:hint="eastAsia"/>
                <w:kern w:val="0"/>
                <w:sz w:val="22"/>
              </w:rPr>
              <w:t>108</w:t>
            </w:r>
            <w:r w:rsidR="009608B2" w:rsidRPr="00E00DDE">
              <w:rPr>
                <w:rFonts w:ascii="宋体" w:eastAsia="宋体" w:hAnsi="宋体" w:cs="宋体" w:hint="eastAsia"/>
                <w:kern w:val="0"/>
                <w:sz w:val="22"/>
              </w:rPr>
              <w:t>霸州市</w:t>
            </w:r>
            <w:r w:rsidRPr="00E00DDE">
              <w:rPr>
                <w:rFonts w:ascii="宋体" w:eastAsia="宋体" w:hAnsi="宋体" w:cs="宋体" w:hint="eastAsia"/>
                <w:kern w:val="0"/>
                <w:sz w:val="22"/>
              </w:rPr>
              <w:t>行政审批</w:t>
            </w:r>
            <w:r w:rsidR="009608B2" w:rsidRPr="00E00DDE">
              <w:rPr>
                <w:rFonts w:ascii="宋体" w:eastAsia="宋体" w:hAnsi="宋体" w:cs="宋体" w:hint="eastAsia"/>
                <w:kern w:val="0"/>
                <w:sz w:val="22"/>
              </w:rPr>
              <w:t>局</w:t>
            </w:r>
          </w:p>
        </w:tc>
        <w:tc>
          <w:tcPr>
            <w:tcW w:w="2036" w:type="pct"/>
            <w:gridSpan w:val="7"/>
            <w:tcBorders>
              <w:top w:val="single" w:sz="6" w:space="0" w:color="FFFFFF"/>
              <w:left w:val="single" w:sz="6" w:space="0" w:color="FFFFFF"/>
              <w:right w:val="single" w:sz="6" w:space="0" w:color="FFFFFF"/>
            </w:tcBorders>
            <w:shd w:val="clear" w:color="auto" w:fill="auto"/>
            <w:vAlign w:val="center"/>
          </w:tcPr>
          <w:p w:rsidR="001245BB" w:rsidRPr="00E00DDE" w:rsidRDefault="001245BB" w:rsidP="009608B2">
            <w:pPr>
              <w:spacing w:line="300" w:lineRule="exact"/>
              <w:jc w:val="right"/>
              <w:rPr>
                <w:rFonts w:asciiTheme="majorEastAsia" w:eastAsiaTheme="majorEastAsia" w:hAnsiTheme="majorEastAsia" w:cs="Times New Roman"/>
                <w:sz w:val="18"/>
                <w:szCs w:val="18"/>
              </w:rPr>
            </w:pPr>
            <w:r w:rsidRPr="00E00DDE">
              <w:rPr>
                <w:rFonts w:asciiTheme="majorEastAsia" w:eastAsiaTheme="majorEastAsia" w:hAnsiTheme="majorEastAsia" w:cs="Times New Roman" w:hint="eastAsia"/>
                <w:sz w:val="18"/>
                <w:szCs w:val="18"/>
              </w:rPr>
              <w:t>单位：万元</w:t>
            </w:r>
          </w:p>
        </w:tc>
      </w:tr>
      <w:tr w:rsidR="001245BB" w:rsidRPr="00E00DDE" w:rsidTr="008D3E3A">
        <w:trPr>
          <w:tblHeader/>
          <w:jc w:val="center"/>
        </w:trPr>
        <w:tc>
          <w:tcPr>
            <w:tcW w:w="1221" w:type="pct"/>
            <w:gridSpan w:val="2"/>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政府采购项目来源</w:t>
            </w:r>
          </w:p>
        </w:tc>
        <w:tc>
          <w:tcPr>
            <w:tcW w:w="310"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采购物品名称</w:t>
            </w:r>
          </w:p>
        </w:tc>
        <w:tc>
          <w:tcPr>
            <w:tcW w:w="494"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政府采购目录序号</w:t>
            </w:r>
          </w:p>
        </w:tc>
        <w:tc>
          <w:tcPr>
            <w:tcW w:w="310"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数量  单位</w:t>
            </w:r>
          </w:p>
        </w:tc>
        <w:tc>
          <w:tcPr>
            <w:tcW w:w="310"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数量</w:t>
            </w:r>
          </w:p>
        </w:tc>
        <w:tc>
          <w:tcPr>
            <w:tcW w:w="319"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单价</w:t>
            </w:r>
          </w:p>
        </w:tc>
        <w:tc>
          <w:tcPr>
            <w:tcW w:w="2036" w:type="pct"/>
            <w:gridSpan w:val="7"/>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政府采购金额</w:t>
            </w:r>
          </w:p>
        </w:tc>
      </w:tr>
      <w:tr w:rsidR="001245BB" w:rsidRPr="00E00DDE" w:rsidTr="008D3E3A">
        <w:trPr>
          <w:tblHeader/>
          <w:jc w:val="center"/>
        </w:trPr>
        <w:tc>
          <w:tcPr>
            <w:tcW w:w="844"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项目名称</w:t>
            </w:r>
          </w:p>
        </w:tc>
        <w:tc>
          <w:tcPr>
            <w:tcW w:w="377"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预算资金</w:t>
            </w:r>
          </w:p>
        </w:tc>
        <w:tc>
          <w:tcPr>
            <w:tcW w:w="310"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494"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0"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0"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9"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7"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总计</w:t>
            </w:r>
          </w:p>
        </w:tc>
        <w:tc>
          <w:tcPr>
            <w:tcW w:w="1546" w:type="pct"/>
            <w:gridSpan w:val="5"/>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当年部门预算安排资金</w:t>
            </w:r>
          </w:p>
        </w:tc>
        <w:tc>
          <w:tcPr>
            <w:tcW w:w="173" w:type="pct"/>
            <w:vMerge w:val="restar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其他渠道资金</w:t>
            </w:r>
          </w:p>
        </w:tc>
      </w:tr>
      <w:tr w:rsidR="001245BB" w:rsidRPr="00E00DDE" w:rsidTr="008D3E3A">
        <w:trPr>
          <w:tblHeader/>
          <w:jc w:val="center"/>
        </w:trPr>
        <w:tc>
          <w:tcPr>
            <w:tcW w:w="844"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77"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0"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494"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0"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0"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9"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7"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c>
          <w:tcPr>
            <w:tcW w:w="317" w:type="pc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合计</w:t>
            </w:r>
          </w:p>
        </w:tc>
        <w:tc>
          <w:tcPr>
            <w:tcW w:w="317" w:type="pc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一般公共预算拨款</w:t>
            </w:r>
          </w:p>
        </w:tc>
        <w:tc>
          <w:tcPr>
            <w:tcW w:w="289" w:type="pc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基金预算拨款</w:t>
            </w:r>
          </w:p>
        </w:tc>
        <w:tc>
          <w:tcPr>
            <w:tcW w:w="311" w:type="pc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财政专户核拨</w:t>
            </w:r>
          </w:p>
        </w:tc>
        <w:tc>
          <w:tcPr>
            <w:tcW w:w="312" w:type="pct"/>
            <w:shd w:val="clear" w:color="auto" w:fill="auto"/>
            <w:vAlign w:val="center"/>
          </w:tcPr>
          <w:p w:rsidR="001245BB" w:rsidRPr="00C56175" w:rsidRDefault="001245BB" w:rsidP="001245BB">
            <w:pPr>
              <w:spacing w:line="300" w:lineRule="exact"/>
              <w:jc w:val="center"/>
              <w:rPr>
                <w:rFonts w:asciiTheme="minorEastAsia" w:hAnsiTheme="minorEastAsia" w:cs="Times New Roman"/>
                <w:b/>
                <w:szCs w:val="24"/>
              </w:rPr>
            </w:pPr>
            <w:r w:rsidRPr="00C56175">
              <w:rPr>
                <w:rFonts w:asciiTheme="minorEastAsia" w:hAnsiTheme="minorEastAsia" w:cs="Times New Roman" w:hint="eastAsia"/>
                <w:b/>
                <w:szCs w:val="24"/>
              </w:rPr>
              <w:t>其他来源收入</w:t>
            </w:r>
          </w:p>
        </w:tc>
        <w:tc>
          <w:tcPr>
            <w:tcW w:w="173" w:type="pct"/>
            <w:vMerge/>
            <w:shd w:val="clear" w:color="auto" w:fill="auto"/>
            <w:vAlign w:val="center"/>
          </w:tcPr>
          <w:p w:rsidR="001245BB" w:rsidRPr="00C56175" w:rsidRDefault="001245BB" w:rsidP="001245BB">
            <w:pPr>
              <w:spacing w:line="300" w:lineRule="exact"/>
              <w:jc w:val="left"/>
              <w:outlineLvl w:val="0"/>
              <w:rPr>
                <w:rFonts w:asciiTheme="minorEastAsia" w:hAnsiTheme="minorEastAsia" w:cs="Times New Roman"/>
                <w:b/>
                <w:szCs w:val="24"/>
              </w:rPr>
            </w:pPr>
          </w:p>
        </w:tc>
      </w:tr>
      <w:tr w:rsidR="00CD259B" w:rsidRPr="00E00DDE"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r w:rsidRPr="00C56175">
              <w:rPr>
                <w:rFonts w:asciiTheme="minorEastAsia" w:hAnsiTheme="minorEastAsia" w:cs="宋体" w:hint="eastAsia"/>
                <w:b/>
                <w:kern w:val="0"/>
                <w:sz w:val="22"/>
              </w:rPr>
              <w:t>合　计</w:t>
            </w:r>
          </w:p>
        </w:tc>
        <w:tc>
          <w:tcPr>
            <w:tcW w:w="377"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p>
        </w:tc>
        <w:tc>
          <w:tcPr>
            <w:tcW w:w="310"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p>
        </w:tc>
        <w:tc>
          <w:tcPr>
            <w:tcW w:w="494"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p>
        </w:tc>
        <w:tc>
          <w:tcPr>
            <w:tcW w:w="310"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p>
        </w:tc>
        <w:tc>
          <w:tcPr>
            <w:tcW w:w="310"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p>
        </w:tc>
        <w:tc>
          <w:tcPr>
            <w:tcW w:w="319"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p>
        </w:tc>
        <w:tc>
          <w:tcPr>
            <w:tcW w:w="317"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r w:rsidRPr="00C56175">
              <w:rPr>
                <w:rFonts w:asciiTheme="minorEastAsia" w:hAnsiTheme="minorEastAsia" w:cs="宋体"/>
                <w:b/>
                <w:kern w:val="0"/>
                <w:sz w:val="22"/>
              </w:rPr>
              <w:t>580.97</w:t>
            </w:r>
          </w:p>
        </w:tc>
        <w:tc>
          <w:tcPr>
            <w:tcW w:w="317"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r w:rsidRPr="00C56175">
              <w:rPr>
                <w:rFonts w:asciiTheme="minorEastAsia" w:hAnsiTheme="minorEastAsia" w:cs="宋体"/>
                <w:b/>
                <w:kern w:val="0"/>
                <w:sz w:val="22"/>
              </w:rPr>
              <w:t>580.97</w:t>
            </w:r>
          </w:p>
        </w:tc>
        <w:tc>
          <w:tcPr>
            <w:tcW w:w="317" w:type="pct"/>
            <w:shd w:val="clear" w:color="auto" w:fill="auto"/>
            <w:vAlign w:val="center"/>
          </w:tcPr>
          <w:p w:rsidR="00CD259B" w:rsidRPr="00C56175" w:rsidRDefault="00CD259B" w:rsidP="00FF5E6B">
            <w:pPr>
              <w:widowControl/>
              <w:jc w:val="left"/>
              <w:rPr>
                <w:rFonts w:asciiTheme="minorEastAsia" w:hAnsiTheme="minorEastAsia" w:cs="宋体"/>
                <w:b/>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政府承担新办企业公章刻制费</w:t>
            </w:r>
          </w:p>
        </w:tc>
        <w:tc>
          <w:tcPr>
            <w:tcW w:w="377"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30.00</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其他商务服务</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C0899</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项</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30.00</w:t>
            </w:r>
          </w:p>
        </w:tc>
        <w:tc>
          <w:tcPr>
            <w:tcW w:w="317"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30.00</w:t>
            </w:r>
          </w:p>
        </w:tc>
        <w:tc>
          <w:tcPr>
            <w:tcW w:w="317"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30.00</w:t>
            </w:r>
          </w:p>
        </w:tc>
        <w:tc>
          <w:tcPr>
            <w:tcW w:w="317"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网络机房安全管理设备升级维护经费</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57.00</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其他网络设备</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A02010299</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台</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8.90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8.90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8.90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网络机房安全管理设备升级维护经费</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57.00</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其他网络设备</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A02010299</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台</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28.00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28.00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28.00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网络机房安全管理设备升级维护经费</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57.00</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其他网络设备</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A02010299</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台</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12.00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12.00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12.00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网络机房安全管理设备升级维护经费</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57.00</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安全运维服务</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C020604</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项</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8.10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8.10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8.10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村级便民服务大厅视</w:t>
            </w:r>
            <w:r w:rsidRPr="00C56175">
              <w:rPr>
                <w:rFonts w:asciiTheme="minorEastAsia" w:hAnsiTheme="minorEastAsia" w:cs="宋体" w:hint="eastAsia"/>
                <w:kern w:val="0"/>
                <w:sz w:val="22"/>
              </w:rPr>
              <w:lastRenderedPageBreak/>
              <w:t>频监控及网络建设资金</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lastRenderedPageBreak/>
              <w:t>361.08</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存储用</w:t>
            </w:r>
            <w:r w:rsidRPr="00C56175">
              <w:rPr>
                <w:rFonts w:asciiTheme="minorEastAsia" w:hAnsiTheme="minorEastAsia" w:cs="宋体" w:hint="eastAsia"/>
                <w:kern w:val="0"/>
                <w:sz w:val="22"/>
              </w:rPr>
              <w:lastRenderedPageBreak/>
              <w:t>光纤交换机</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lastRenderedPageBreak/>
              <w:t>A02010503</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台</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114.00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0.35</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39.90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39.90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lastRenderedPageBreak/>
              <w:t>村级便民服务大厅视频监控及网络建设资金</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361.08</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通用摄像机</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A02091102</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台</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290.00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0.38</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110.20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110.20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村级便民服务大厅视频监控及网络建设资金</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361.08</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话筒设备</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A02091206</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台</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288.00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0.05</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14.40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14.40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村级便民服务大厅视频监控及网络建设资金</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361.08</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其他电源设备</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A02061599</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台</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288.00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0.03</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8.64</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8.64</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村级便民服务大厅视频监控及网络建设资金</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361.08</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支撑软件开发服务</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C020102</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套</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19.50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19.50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19.50</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村级便民服务大厅视频监控及网络建设资金</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361.08</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其他不另分类的物品</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A9999</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项</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40.41</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40.41</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40.41</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村级便民服务大厅视</w:t>
            </w:r>
            <w:r w:rsidRPr="00C56175">
              <w:rPr>
                <w:rFonts w:asciiTheme="minorEastAsia" w:hAnsiTheme="minorEastAsia" w:cs="宋体" w:hint="eastAsia"/>
                <w:kern w:val="0"/>
                <w:sz w:val="22"/>
              </w:rPr>
              <w:lastRenderedPageBreak/>
              <w:t>频监控及网络建设资金</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lastRenderedPageBreak/>
              <w:t>361.08</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其他安</w:t>
            </w:r>
            <w:r w:rsidRPr="00C56175">
              <w:rPr>
                <w:rFonts w:asciiTheme="minorEastAsia" w:hAnsiTheme="minorEastAsia" w:cs="宋体" w:hint="eastAsia"/>
                <w:kern w:val="0"/>
                <w:sz w:val="22"/>
              </w:rPr>
              <w:lastRenderedPageBreak/>
              <w:t>装</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lastRenderedPageBreak/>
              <w:t>B0699</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项</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128.03</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128.03</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128.03</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r w:rsidR="00CD259B" w:rsidRPr="00C56175" w:rsidTr="008D3E3A">
        <w:trPr>
          <w:jc w:val="center"/>
        </w:trPr>
        <w:tc>
          <w:tcPr>
            <w:tcW w:w="84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lastRenderedPageBreak/>
              <w:t>审批局物业费</w:t>
            </w:r>
          </w:p>
        </w:tc>
        <w:tc>
          <w:tcPr>
            <w:tcW w:w="37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132.89</w:t>
            </w:r>
          </w:p>
        </w:tc>
        <w:tc>
          <w:tcPr>
            <w:tcW w:w="310"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hint="eastAsia"/>
                <w:kern w:val="0"/>
                <w:sz w:val="22"/>
              </w:rPr>
              <w:t>物业管理服务</w:t>
            </w:r>
          </w:p>
        </w:tc>
        <w:tc>
          <w:tcPr>
            <w:tcW w:w="494" w:type="pct"/>
            <w:shd w:val="clear" w:color="auto" w:fill="auto"/>
            <w:vAlign w:val="center"/>
          </w:tcPr>
          <w:p w:rsidR="00CD259B" w:rsidRPr="00C56175" w:rsidRDefault="00CD259B" w:rsidP="00FF5E6B">
            <w:pPr>
              <w:widowControl/>
              <w:jc w:val="left"/>
              <w:rPr>
                <w:rFonts w:asciiTheme="minorEastAsia" w:hAnsiTheme="minorEastAsia" w:cs="宋体"/>
                <w:kern w:val="0"/>
                <w:sz w:val="22"/>
              </w:rPr>
            </w:pPr>
            <w:r w:rsidRPr="00C56175">
              <w:rPr>
                <w:rFonts w:asciiTheme="minorEastAsia" w:hAnsiTheme="minorEastAsia" w:cs="宋体"/>
                <w:kern w:val="0"/>
                <w:sz w:val="22"/>
              </w:rPr>
              <w:t>C1</w:t>
            </w:r>
            <w:bookmarkStart w:id="4" w:name="_GoBack"/>
            <w:bookmarkEnd w:id="4"/>
            <w:r w:rsidRPr="00C56175">
              <w:rPr>
                <w:rFonts w:asciiTheme="minorEastAsia" w:hAnsiTheme="minorEastAsia" w:cs="宋体"/>
                <w:kern w:val="0"/>
                <w:sz w:val="22"/>
              </w:rPr>
              <w:t>204</w:t>
            </w:r>
          </w:p>
        </w:tc>
        <w:tc>
          <w:tcPr>
            <w:tcW w:w="310" w:type="pct"/>
            <w:shd w:val="clear" w:color="auto" w:fill="auto"/>
            <w:vAlign w:val="center"/>
          </w:tcPr>
          <w:p w:rsidR="00CD259B" w:rsidRPr="00C56175" w:rsidRDefault="00CD259B" w:rsidP="00FF5E6B">
            <w:pPr>
              <w:widowControl/>
              <w:jc w:val="center"/>
              <w:rPr>
                <w:rFonts w:asciiTheme="minorEastAsia" w:hAnsiTheme="minorEastAsia" w:cs="宋体"/>
                <w:kern w:val="0"/>
                <w:sz w:val="22"/>
              </w:rPr>
            </w:pPr>
            <w:r w:rsidRPr="00C56175">
              <w:rPr>
                <w:rFonts w:asciiTheme="minorEastAsia" w:hAnsiTheme="minorEastAsia" w:cs="宋体" w:hint="eastAsia"/>
                <w:kern w:val="0"/>
                <w:sz w:val="22"/>
              </w:rPr>
              <w:t>项</w:t>
            </w:r>
          </w:p>
        </w:tc>
        <w:tc>
          <w:tcPr>
            <w:tcW w:w="310"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1.00</w:t>
            </w:r>
          </w:p>
        </w:tc>
        <w:tc>
          <w:tcPr>
            <w:tcW w:w="319"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132.89</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132.89</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r w:rsidRPr="00C56175">
              <w:rPr>
                <w:rFonts w:asciiTheme="minorEastAsia" w:hAnsiTheme="minorEastAsia" w:cs="宋体"/>
                <w:kern w:val="0"/>
                <w:sz w:val="22"/>
              </w:rPr>
              <w:t>132.89</w:t>
            </w:r>
          </w:p>
        </w:tc>
        <w:tc>
          <w:tcPr>
            <w:tcW w:w="317" w:type="pct"/>
            <w:shd w:val="clear" w:color="auto" w:fill="auto"/>
            <w:vAlign w:val="center"/>
          </w:tcPr>
          <w:p w:rsidR="00CD259B" w:rsidRPr="00C56175" w:rsidRDefault="00CD259B" w:rsidP="00FF5E6B">
            <w:pPr>
              <w:widowControl/>
              <w:jc w:val="right"/>
              <w:rPr>
                <w:rFonts w:asciiTheme="minorEastAsia" w:hAnsiTheme="minorEastAsia" w:cs="宋体"/>
                <w:kern w:val="0"/>
                <w:sz w:val="22"/>
              </w:rPr>
            </w:pPr>
          </w:p>
        </w:tc>
        <w:tc>
          <w:tcPr>
            <w:tcW w:w="289"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1"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312"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c>
          <w:tcPr>
            <w:tcW w:w="173" w:type="pct"/>
            <w:shd w:val="clear" w:color="auto" w:fill="auto"/>
            <w:vAlign w:val="center"/>
          </w:tcPr>
          <w:p w:rsidR="00CD259B" w:rsidRPr="00C56175" w:rsidRDefault="00CD259B" w:rsidP="001245BB">
            <w:pPr>
              <w:spacing w:line="300" w:lineRule="exact"/>
              <w:jc w:val="right"/>
              <w:rPr>
                <w:rFonts w:asciiTheme="minorEastAsia" w:hAnsiTheme="minorEastAsia" w:cs="Times New Roman"/>
                <w:b/>
                <w:szCs w:val="24"/>
              </w:rPr>
            </w:pPr>
          </w:p>
        </w:tc>
      </w:tr>
    </w:tbl>
    <w:p w:rsidR="00F66032" w:rsidRPr="001245BB" w:rsidRDefault="00F66032" w:rsidP="000B6A65">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rsidR="00FF5E6B" w:rsidRDefault="00712F2E" w:rsidP="00FF5E6B">
      <w:pPr>
        <w:ind w:firstLineChars="200" w:firstLine="640"/>
        <w:rPr>
          <w:rFonts w:ascii="仿宋_GB2312" w:eastAsia="仿宋_GB2312" w:hAnsi="Times New Roman" w:cs="Times New Roman"/>
          <w:color w:val="000000" w:themeColor="text1"/>
          <w:sz w:val="32"/>
          <w:szCs w:val="32"/>
        </w:rPr>
      </w:pPr>
      <w:r w:rsidRPr="00EC0907">
        <w:rPr>
          <w:rFonts w:ascii="仿宋_GB2312" w:eastAsia="仿宋_GB2312" w:hAnsi="黑体" w:cs="Times New Roman" w:hint="eastAsia"/>
          <w:sz w:val="32"/>
          <w:szCs w:val="32"/>
        </w:rPr>
        <w:t>霸州市</w:t>
      </w:r>
      <w:r w:rsidR="00CD259B">
        <w:rPr>
          <w:rFonts w:ascii="仿宋_GB2312" w:eastAsia="仿宋_GB2312" w:hAnsi="黑体" w:cs="Times New Roman" w:hint="eastAsia"/>
          <w:sz w:val="32"/>
          <w:szCs w:val="32"/>
        </w:rPr>
        <w:t>行政审批局</w:t>
      </w:r>
      <w:r w:rsidR="008334AE" w:rsidRPr="002645FB">
        <w:rPr>
          <w:rFonts w:ascii="仿宋_GB2312" w:eastAsia="仿宋_GB2312" w:hAnsi="黑体" w:cs="Times New Roman" w:hint="eastAsia"/>
          <w:sz w:val="32"/>
          <w:szCs w:val="32"/>
        </w:rPr>
        <w:t>上年末固定资产金额为</w:t>
      </w:r>
      <w:r w:rsidR="00CD259B">
        <w:rPr>
          <w:rFonts w:ascii="仿宋_GB2312" w:eastAsia="仿宋_GB2312" w:hAnsi="黑体" w:cs="Times New Roman" w:hint="eastAsia"/>
          <w:sz w:val="32"/>
          <w:szCs w:val="32"/>
        </w:rPr>
        <w:t>1796.73</w:t>
      </w:r>
      <w:r w:rsidR="008334AE" w:rsidRPr="002645FB">
        <w:rPr>
          <w:rFonts w:ascii="仿宋_GB2312" w:eastAsia="仿宋_GB2312" w:hAnsi="黑体" w:cs="Times New Roman" w:hint="eastAsia"/>
          <w:sz w:val="32"/>
          <w:szCs w:val="32"/>
        </w:rPr>
        <w:t>万元</w:t>
      </w:r>
      <w:r w:rsidR="00CE6B7C">
        <w:rPr>
          <w:rFonts w:ascii="仿宋_GB2312" w:eastAsia="仿宋_GB2312" w:hAnsi="黑体" w:cs="Times New Roman" w:hint="eastAsia"/>
          <w:sz w:val="32"/>
          <w:szCs w:val="32"/>
        </w:rPr>
        <w:t>（</w:t>
      </w:r>
      <w:r w:rsidR="00CE6B7C" w:rsidRPr="002645FB">
        <w:rPr>
          <w:rFonts w:ascii="仿宋_GB2312" w:eastAsia="仿宋_GB2312" w:hAnsi="黑体" w:cs="Times New Roman" w:hint="eastAsia"/>
          <w:sz w:val="32"/>
          <w:szCs w:val="32"/>
        </w:rPr>
        <w:t>详见下表</w:t>
      </w:r>
      <w:r w:rsidR="00CE6B7C">
        <w:rPr>
          <w:rFonts w:ascii="仿宋_GB2312" w:eastAsia="仿宋_GB2312" w:hAnsi="黑体" w:cs="Times New Roman" w:hint="eastAsia"/>
          <w:sz w:val="32"/>
          <w:szCs w:val="32"/>
        </w:rPr>
        <w:t>）。</w:t>
      </w:r>
      <w:r w:rsidR="00FF5E6B">
        <w:rPr>
          <w:rFonts w:ascii="仿宋_GB2312" w:eastAsia="仿宋_GB2312" w:hAnsi="黑体" w:cs="Times New Roman" w:hint="eastAsia"/>
          <w:color w:val="000000" w:themeColor="text1"/>
          <w:sz w:val="32"/>
          <w:szCs w:val="32"/>
        </w:rPr>
        <w:t>本年度本部门拟购置固定资产总额为418.08万元，主要为村级便民服务大厅设备及市级政务大厅办公专用网络设备等，已列入政府采购预算，详见政府采购预算表。</w:t>
      </w:r>
    </w:p>
    <w:tbl>
      <w:tblPr>
        <w:tblW w:w="13482" w:type="dxa"/>
        <w:tblInd w:w="93" w:type="dxa"/>
        <w:tblLook w:val="04A0"/>
      </w:tblPr>
      <w:tblGrid>
        <w:gridCol w:w="5224"/>
        <w:gridCol w:w="3155"/>
        <w:gridCol w:w="5103"/>
      </w:tblGrid>
      <w:tr w:rsidR="00296113" w:rsidRPr="00296113" w:rsidTr="00296113">
        <w:trPr>
          <w:trHeight w:val="705"/>
        </w:trPr>
        <w:tc>
          <w:tcPr>
            <w:tcW w:w="13482" w:type="dxa"/>
            <w:gridSpan w:val="3"/>
            <w:tcBorders>
              <w:top w:val="nil"/>
              <w:left w:val="nil"/>
              <w:bottom w:val="nil"/>
              <w:right w:val="nil"/>
            </w:tcBorders>
            <w:shd w:val="clear" w:color="auto" w:fill="auto"/>
            <w:noWrap/>
            <w:vAlign w:val="center"/>
            <w:hideMark/>
          </w:tcPr>
          <w:p w:rsidR="00793642" w:rsidRPr="00FF5E6B" w:rsidRDefault="00793642" w:rsidP="00296113">
            <w:pPr>
              <w:widowControl/>
              <w:jc w:val="center"/>
              <w:rPr>
                <w:rFonts w:ascii="宋体" w:eastAsia="宋体" w:hAnsi="宋体" w:cs="宋体"/>
                <w:b/>
                <w:bCs/>
                <w:kern w:val="0"/>
                <w:sz w:val="32"/>
                <w:szCs w:val="32"/>
              </w:rPr>
            </w:pPr>
          </w:p>
          <w:p w:rsidR="00296113" w:rsidRPr="00296113" w:rsidRDefault="00A44217" w:rsidP="00FF5E6B">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w:t>
            </w:r>
            <w:r w:rsidR="00FF5E6B">
              <w:rPr>
                <w:rFonts w:ascii="宋体" w:eastAsia="宋体" w:hAnsi="宋体" w:cs="宋体" w:hint="eastAsia"/>
                <w:b/>
                <w:bCs/>
                <w:kern w:val="0"/>
                <w:sz w:val="32"/>
                <w:szCs w:val="32"/>
              </w:rPr>
              <w:t>行政审批局</w:t>
            </w:r>
            <w:r w:rsidR="00296113" w:rsidRPr="00296113">
              <w:rPr>
                <w:rFonts w:ascii="宋体" w:eastAsia="宋体" w:hAnsi="宋体" w:cs="宋体" w:hint="eastAsia"/>
                <w:b/>
                <w:bCs/>
                <w:kern w:val="0"/>
                <w:sz w:val="32"/>
                <w:szCs w:val="32"/>
              </w:rPr>
              <w:t>部门固定资产占用情况表</w:t>
            </w:r>
          </w:p>
        </w:tc>
      </w:tr>
      <w:tr w:rsidR="00296113" w:rsidRPr="00296113" w:rsidTr="00296113">
        <w:trPr>
          <w:trHeight w:val="510"/>
        </w:trPr>
        <w:tc>
          <w:tcPr>
            <w:tcW w:w="8379" w:type="dxa"/>
            <w:gridSpan w:val="2"/>
            <w:tcBorders>
              <w:top w:val="nil"/>
              <w:left w:val="nil"/>
              <w:bottom w:val="nil"/>
              <w:right w:val="nil"/>
            </w:tcBorders>
            <w:shd w:val="clear" w:color="auto" w:fill="auto"/>
            <w:noWrap/>
            <w:vAlign w:val="center"/>
            <w:hideMark/>
          </w:tcPr>
          <w:p w:rsidR="00296113" w:rsidRPr="00296113" w:rsidRDefault="00296113" w:rsidP="00FF5E6B">
            <w:pPr>
              <w:widowControl/>
              <w:jc w:val="left"/>
              <w:rPr>
                <w:rFonts w:ascii="宋体" w:eastAsia="宋体" w:hAnsi="宋体" w:cs="宋体"/>
                <w:kern w:val="0"/>
                <w:sz w:val="22"/>
              </w:rPr>
            </w:pPr>
            <w:r w:rsidRPr="00296113">
              <w:rPr>
                <w:rFonts w:ascii="宋体" w:eastAsia="宋体" w:hAnsi="宋体" w:cs="宋体" w:hint="eastAsia"/>
                <w:kern w:val="0"/>
                <w:sz w:val="22"/>
              </w:rPr>
              <w:t>编制部门：</w:t>
            </w:r>
            <w:r w:rsidR="00FF5E6B">
              <w:rPr>
                <w:rFonts w:ascii="宋体" w:eastAsia="宋体" w:hAnsi="宋体" w:cs="宋体" w:hint="eastAsia"/>
                <w:kern w:val="0"/>
                <w:sz w:val="22"/>
              </w:rPr>
              <w:t>108 霸州市行政审批局</w:t>
            </w:r>
          </w:p>
        </w:tc>
        <w:tc>
          <w:tcPr>
            <w:tcW w:w="5103" w:type="dxa"/>
            <w:tcBorders>
              <w:top w:val="nil"/>
              <w:left w:val="nil"/>
              <w:bottom w:val="nil"/>
              <w:right w:val="nil"/>
            </w:tcBorders>
            <w:shd w:val="clear" w:color="auto" w:fill="auto"/>
            <w:noWrap/>
            <w:vAlign w:val="center"/>
            <w:hideMark/>
          </w:tcPr>
          <w:p w:rsidR="00296113" w:rsidRPr="00296113" w:rsidRDefault="00296113" w:rsidP="00BC7D9A">
            <w:pPr>
              <w:widowControl/>
              <w:ind w:firstLineChars="750" w:firstLine="1650"/>
              <w:jc w:val="left"/>
              <w:rPr>
                <w:rFonts w:ascii="宋体" w:eastAsia="宋体" w:hAnsi="宋体" w:cs="宋体"/>
                <w:kern w:val="0"/>
                <w:sz w:val="22"/>
              </w:rPr>
            </w:pPr>
            <w:r w:rsidRPr="00296113">
              <w:rPr>
                <w:rFonts w:ascii="宋体" w:eastAsia="宋体" w:hAnsi="宋体" w:cs="宋体" w:hint="eastAsia"/>
                <w:kern w:val="0"/>
                <w:sz w:val="22"/>
              </w:rPr>
              <w:t>截止时间：</w:t>
            </w:r>
            <w:r w:rsidR="004F6A54">
              <w:rPr>
                <w:rFonts w:ascii="宋体" w:eastAsia="宋体" w:hAnsi="宋体" w:cs="宋体" w:hint="eastAsia"/>
                <w:kern w:val="0"/>
                <w:sz w:val="22"/>
              </w:rPr>
              <w:t>201</w:t>
            </w:r>
            <w:r w:rsidR="00FA2A1D">
              <w:rPr>
                <w:rFonts w:ascii="宋体" w:eastAsia="宋体" w:hAnsi="宋体" w:cs="宋体"/>
                <w:kern w:val="0"/>
                <w:sz w:val="22"/>
              </w:rPr>
              <w:t>9</w:t>
            </w:r>
            <w:r w:rsidRPr="00296113">
              <w:rPr>
                <w:rFonts w:ascii="宋体" w:eastAsia="宋体" w:hAnsi="宋体" w:cs="宋体" w:hint="eastAsia"/>
                <w:kern w:val="0"/>
                <w:sz w:val="22"/>
              </w:rPr>
              <w:t xml:space="preserve">年12月31日  </w:t>
            </w:r>
          </w:p>
        </w:tc>
      </w:tr>
      <w:tr w:rsidR="00296113" w:rsidRPr="00296113" w:rsidTr="00D45811">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lastRenderedPageBreak/>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FF5E6B" w:rsidP="00296113">
            <w:pPr>
              <w:widowControl/>
              <w:jc w:val="center"/>
              <w:rPr>
                <w:rFonts w:ascii="宋体" w:eastAsia="宋体" w:hAnsi="宋体" w:cs="宋体"/>
                <w:kern w:val="0"/>
                <w:sz w:val="22"/>
              </w:rPr>
            </w:pPr>
            <w:r>
              <w:rPr>
                <w:rFonts w:ascii="宋体" w:eastAsia="宋体" w:hAnsi="宋体" w:cs="宋体" w:hint="eastAsia"/>
                <w:kern w:val="0"/>
                <w:sz w:val="22"/>
              </w:rPr>
              <w:t>1796.73</w:t>
            </w:r>
          </w:p>
        </w:tc>
      </w:tr>
      <w:tr w:rsidR="00296113" w:rsidRPr="00296113" w:rsidTr="00EF1B99">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EF1B99"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EF1B99">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FF5E6B" w:rsidP="00296113">
            <w:pPr>
              <w:widowControl/>
              <w:jc w:val="center"/>
              <w:rPr>
                <w:rFonts w:ascii="宋体" w:eastAsia="宋体" w:hAnsi="宋体" w:cs="宋体"/>
                <w:kern w:val="0"/>
                <w:sz w:val="22"/>
              </w:rPr>
            </w:pPr>
            <w:r>
              <w:rPr>
                <w:rFonts w:ascii="宋体" w:eastAsia="宋体" w:hAnsi="宋体" w:cs="宋体" w:hint="eastAsia"/>
                <w:kern w:val="0"/>
                <w:sz w:val="22"/>
              </w:rPr>
              <w:t>1</w:t>
            </w: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FF5E6B" w:rsidP="00FF5E6B">
            <w:pPr>
              <w:widowControl/>
              <w:jc w:val="center"/>
              <w:rPr>
                <w:rFonts w:ascii="宋体" w:eastAsia="宋体" w:hAnsi="宋体" w:cs="宋体"/>
                <w:kern w:val="0"/>
                <w:sz w:val="22"/>
              </w:rPr>
            </w:pPr>
            <w:r>
              <w:rPr>
                <w:rFonts w:ascii="宋体" w:eastAsia="宋体" w:hAnsi="宋体" w:cs="宋体" w:hint="eastAsia"/>
                <w:kern w:val="0"/>
                <w:sz w:val="22"/>
              </w:rPr>
              <w:t>23.38</w:t>
            </w:r>
          </w:p>
        </w:tc>
      </w:tr>
      <w:tr w:rsidR="00296113" w:rsidRPr="00296113" w:rsidTr="00EF1B9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296113" w:rsidP="00296113">
            <w:pPr>
              <w:widowControl/>
              <w:jc w:val="center"/>
              <w:rPr>
                <w:rFonts w:ascii="宋体" w:eastAsia="宋体" w:hAnsi="宋体" w:cs="宋体"/>
                <w:kern w:val="0"/>
                <w:sz w:val="22"/>
              </w:rPr>
            </w:pPr>
          </w:p>
        </w:tc>
      </w:tr>
      <w:tr w:rsidR="00296113" w:rsidRPr="00296113" w:rsidTr="002645FB">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rsidR="00296113" w:rsidRPr="00296113" w:rsidRDefault="00296113" w:rsidP="00296113">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296113" w:rsidRPr="00296113" w:rsidRDefault="00FF5E6B" w:rsidP="00296113">
            <w:pPr>
              <w:widowControl/>
              <w:jc w:val="center"/>
              <w:rPr>
                <w:rFonts w:ascii="宋体" w:eastAsia="宋体" w:hAnsi="宋体" w:cs="宋体"/>
                <w:kern w:val="0"/>
                <w:sz w:val="22"/>
              </w:rPr>
            </w:pPr>
            <w:r>
              <w:rPr>
                <w:rFonts w:ascii="宋体" w:eastAsia="宋体" w:hAnsi="宋体" w:cs="宋体" w:hint="eastAsia"/>
                <w:kern w:val="0"/>
                <w:sz w:val="22"/>
              </w:rPr>
              <w:t>1773.35</w:t>
            </w:r>
          </w:p>
        </w:tc>
      </w:tr>
    </w:tbl>
    <w:p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八、名词解释</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1、一般公共预算拨款收入：指市级财政当年拨付的资金。</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2、事业收入：指事业单位开展专业业务活动及辅助活动所取得的收入。</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 xml:space="preserve">    6、上缴上级支出：指下级单位上缴上级的支出。</w:t>
      </w:r>
    </w:p>
    <w:p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75D5F"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2BAF" w:rsidRPr="00B218B0" w:rsidRDefault="00F24390"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008C2BAF" w:rsidRPr="00B218B0">
        <w:rPr>
          <w:rFonts w:ascii="黑体" w:eastAsia="黑体" w:hAnsi="黑体" w:cs="Times New Roman" w:hint="eastAsia"/>
          <w:sz w:val="32"/>
          <w:szCs w:val="32"/>
        </w:rPr>
        <w:t>需要说明的事项</w:t>
      </w:r>
    </w:p>
    <w:p w:rsidR="008C2BAF" w:rsidRPr="00C87170" w:rsidRDefault="00F24390" w:rsidP="00C87170">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008C2BAF" w:rsidRPr="00C87170">
        <w:rPr>
          <w:rFonts w:ascii="仿宋_GB2312" w:eastAsia="仿宋_GB2312" w:hAnsi="黑体" w:cs="Times New Roman" w:hint="eastAsia"/>
          <w:sz w:val="32"/>
          <w:szCs w:val="32"/>
        </w:rPr>
        <w:t>需要说明的事项。</w:t>
      </w:r>
    </w:p>
    <w:sectPr w:rsidR="008C2BAF" w:rsidRPr="00C87170" w:rsidSect="009B077C">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53" w:rsidRDefault="00D86853" w:rsidP="008C2BAF">
      <w:r>
        <w:separator/>
      </w:r>
    </w:p>
  </w:endnote>
  <w:endnote w:type="continuationSeparator" w:id="1">
    <w:p w:rsidR="00D86853" w:rsidRDefault="00D86853"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方正小标宋简体"/>
    <w:charset w:val="86"/>
    <w:family w:val="script"/>
    <w:pitch w:val="fixed"/>
    <w:sig w:usb0="00000001" w:usb1="080E0000" w:usb2="00000010" w:usb3="00000000" w:csb0="00040000" w:csb1="00000000"/>
  </w:font>
  <w:font w:name="方正书宋_GBK">
    <w:altName w:val="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docPartObj>
        <w:docPartGallery w:val="Page Numbers (Bottom of Page)"/>
        <w:docPartUnique/>
      </w:docPartObj>
    </w:sdtPr>
    <w:sdtContent>
      <w:p w:rsidR="00337231" w:rsidRDefault="003859E6">
        <w:pPr>
          <w:pStyle w:val="a4"/>
          <w:jc w:val="center"/>
        </w:pPr>
        <w:r w:rsidRPr="00CE2392">
          <w:rPr>
            <w:sz w:val="28"/>
          </w:rPr>
          <w:fldChar w:fldCharType="begin"/>
        </w:r>
        <w:r w:rsidR="00337231" w:rsidRPr="00CE2392">
          <w:rPr>
            <w:sz w:val="28"/>
          </w:rPr>
          <w:instrText>PAGE   \* MERGEFORMAT</w:instrText>
        </w:r>
        <w:r w:rsidRPr="00CE2392">
          <w:rPr>
            <w:sz w:val="28"/>
          </w:rPr>
          <w:fldChar w:fldCharType="separate"/>
        </w:r>
        <w:r w:rsidR="00372A64" w:rsidRPr="00372A64">
          <w:rPr>
            <w:noProof/>
            <w:sz w:val="28"/>
            <w:lang w:val="zh-CN"/>
          </w:rPr>
          <w:t>4</w:t>
        </w:r>
        <w:r w:rsidRPr="00CE2392">
          <w:rPr>
            <w:sz w:val="28"/>
          </w:rPr>
          <w:fldChar w:fldCharType="end"/>
        </w:r>
      </w:p>
    </w:sdtContent>
  </w:sdt>
  <w:p w:rsidR="00337231" w:rsidRDefault="003372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53" w:rsidRDefault="00D86853" w:rsidP="008C2BAF">
      <w:r>
        <w:separator/>
      </w:r>
    </w:p>
  </w:footnote>
  <w:footnote w:type="continuationSeparator" w:id="1">
    <w:p w:rsidR="00D86853" w:rsidRDefault="00D86853"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2503"/>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2FA"/>
    <w:rsid w:val="002C4F5B"/>
    <w:rsid w:val="002E0A4A"/>
    <w:rsid w:val="002E5A52"/>
    <w:rsid w:val="002F3E58"/>
    <w:rsid w:val="002F5A42"/>
    <w:rsid w:val="002F716D"/>
    <w:rsid w:val="003026B2"/>
    <w:rsid w:val="0030542C"/>
    <w:rsid w:val="00311628"/>
    <w:rsid w:val="00311B7A"/>
    <w:rsid w:val="00315445"/>
    <w:rsid w:val="00315793"/>
    <w:rsid w:val="00325273"/>
    <w:rsid w:val="00337231"/>
    <w:rsid w:val="003438CA"/>
    <w:rsid w:val="003473B0"/>
    <w:rsid w:val="00351B07"/>
    <w:rsid w:val="0036269C"/>
    <w:rsid w:val="00372A64"/>
    <w:rsid w:val="00382C33"/>
    <w:rsid w:val="003859E6"/>
    <w:rsid w:val="00393587"/>
    <w:rsid w:val="00394C32"/>
    <w:rsid w:val="003A05EE"/>
    <w:rsid w:val="003A067B"/>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7687D"/>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2BB4"/>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13"/>
    <w:rsid w:val="006238E6"/>
    <w:rsid w:val="00632253"/>
    <w:rsid w:val="006327F1"/>
    <w:rsid w:val="006373F4"/>
    <w:rsid w:val="0064344B"/>
    <w:rsid w:val="00644154"/>
    <w:rsid w:val="00644837"/>
    <w:rsid w:val="0065409C"/>
    <w:rsid w:val="0066085F"/>
    <w:rsid w:val="00667064"/>
    <w:rsid w:val="00667568"/>
    <w:rsid w:val="006679BA"/>
    <w:rsid w:val="00671ADF"/>
    <w:rsid w:val="00680707"/>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83AE0"/>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0023"/>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22E5"/>
    <w:rsid w:val="008B3CC5"/>
    <w:rsid w:val="008B4435"/>
    <w:rsid w:val="008C1793"/>
    <w:rsid w:val="008C2BAF"/>
    <w:rsid w:val="008D3496"/>
    <w:rsid w:val="008D3E3A"/>
    <w:rsid w:val="008E18C5"/>
    <w:rsid w:val="008E4261"/>
    <w:rsid w:val="008E4999"/>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4EA9"/>
    <w:rsid w:val="00A75A47"/>
    <w:rsid w:val="00A80A25"/>
    <w:rsid w:val="00A813DC"/>
    <w:rsid w:val="00A90F6E"/>
    <w:rsid w:val="00A911E7"/>
    <w:rsid w:val="00A939D9"/>
    <w:rsid w:val="00AA1E38"/>
    <w:rsid w:val="00AA1F69"/>
    <w:rsid w:val="00AA4712"/>
    <w:rsid w:val="00AB1409"/>
    <w:rsid w:val="00AB556C"/>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1365D"/>
    <w:rsid w:val="00C209D8"/>
    <w:rsid w:val="00C25CD1"/>
    <w:rsid w:val="00C266EE"/>
    <w:rsid w:val="00C35022"/>
    <w:rsid w:val="00C5125B"/>
    <w:rsid w:val="00C54643"/>
    <w:rsid w:val="00C549FA"/>
    <w:rsid w:val="00C54CE5"/>
    <w:rsid w:val="00C55CEC"/>
    <w:rsid w:val="00C56175"/>
    <w:rsid w:val="00C6404D"/>
    <w:rsid w:val="00C711B8"/>
    <w:rsid w:val="00C8097C"/>
    <w:rsid w:val="00C83464"/>
    <w:rsid w:val="00C853CD"/>
    <w:rsid w:val="00C87170"/>
    <w:rsid w:val="00C92AC7"/>
    <w:rsid w:val="00C92E09"/>
    <w:rsid w:val="00CA7176"/>
    <w:rsid w:val="00CA7C24"/>
    <w:rsid w:val="00CD0702"/>
    <w:rsid w:val="00CD1590"/>
    <w:rsid w:val="00CD259B"/>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6853"/>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0DDE"/>
    <w:rsid w:val="00E07991"/>
    <w:rsid w:val="00E13B84"/>
    <w:rsid w:val="00E167C7"/>
    <w:rsid w:val="00E24028"/>
    <w:rsid w:val="00E36C7E"/>
    <w:rsid w:val="00E402EF"/>
    <w:rsid w:val="00E4550C"/>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26BF7"/>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165E"/>
    <w:rsid w:val="00FB64EF"/>
    <w:rsid w:val="00FB7C83"/>
    <w:rsid w:val="00FC11F8"/>
    <w:rsid w:val="00FD52DC"/>
    <w:rsid w:val="00FD596F"/>
    <w:rsid w:val="00FD6519"/>
    <w:rsid w:val="00FE25D5"/>
    <w:rsid w:val="00FE2A35"/>
    <w:rsid w:val="00FE2E68"/>
    <w:rsid w:val="00FF0EC6"/>
    <w:rsid w:val="00FF3F1E"/>
    <w:rsid w:val="00FF4B95"/>
    <w:rsid w:val="00FF5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9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A1176E"/>
    <w:rPr>
      <w:sz w:val="18"/>
      <w:szCs w:val="18"/>
    </w:rPr>
  </w:style>
  <w:style w:type="character" w:customStyle="1" w:styleId="Char1">
    <w:name w:val="批注框文本 Char"/>
    <w:basedOn w:val="a0"/>
    <w:link w:val="a5"/>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autoRedefine/>
    <w:rsid w:val="00460F14"/>
    <w:rPr>
      <w:rFonts w:ascii="Tahoma" w:eastAsia="宋体" w:hAnsi="Tahom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Char"/>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A1176E"/>
    <w:rPr>
      <w:sz w:val="18"/>
      <w:szCs w:val="18"/>
    </w:rPr>
  </w:style>
  <w:style w:type="character" w:customStyle="1" w:styleId="Char1">
    <w:name w:val="批注框文本 Char"/>
    <w:basedOn w:val="a0"/>
    <w:link w:val="a5"/>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2">
    <w:name w:val="Char"/>
    <w:basedOn w:val="a"/>
    <w:autoRedefine/>
    <w:rsid w:val="00460F14"/>
    <w:rPr>
      <w:rFonts w:ascii="Tahoma" w:eastAsia="宋体" w:hAnsi="Tahoma" w:cs="Times New Roman"/>
      <w:sz w:val="24"/>
      <w:szCs w:val="24"/>
    </w:rPr>
  </w:style>
</w:styles>
</file>

<file path=word/webSettings.xml><?xml version="1.0" encoding="utf-8"?>
<w:webSettings xmlns:r="http://schemas.openxmlformats.org/officeDocument/2006/relationships" xmlns:w="http://schemas.openxmlformats.org/wordprocessingml/2006/main">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153108585">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317296533">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4928058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87D2-5F4F-46D6-8B59-A4CAD810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1496</Words>
  <Characters>8528</Characters>
  <Application>Microsoft Office Word</Application>
  <DocSecurity>0</DocSecurity>
  <Lines>71</Lines>
  <Paragraphs>20</Paragraphs>
  <ScaleCrop>false</ScaleCrop>
  <Company>Microsoft</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LenovoUser</cp:lastModifiedBy>
  <cp:revision>2</cp:revision>
  <cp:lastPrinted>2018-02-28T01:51:00Z</cp:lastPrinted>
  <dcterms:created xsi:type="dcterms:W3CDTF">2020-06-28T09:22:00Z</dcterms:created>
  <dcterms:modified xsi:type="dcterms:W3CDTF">2020-06-28T09:22:00Z</dcterms:modified>
</cp:coreProperties>
</file>